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7C22" w14:textId="55854B95" w:rsidR="00AB15BC" w:rsidRPr="00AB15BC" w:rsidRDefault="00AB15BC"/>
    <w:tbl>
      <w:tblPr>
        <w:tblStyle w:val="Grilledutableau"/>
        <w:tblW w:w="0" w:type="auto"/>
        <w:shd w:val="clear" w:color="auto" w:fill="31849B" w:themeFill="accent5" w:themeFillShade="BF"/>
        <w:tblLook w:val="04A0" w:firstRow="1" w:lastRow="0" w:firstColumn="1" w:lastColumn="0" w:noHBand="0" w:noVBand="1"/>
      </w:tblPr>
      <w:tblGrid>
        <w:gridCol w:w="9628"/>
      </w:tblGrid>
      <w:tr w:rsidR="00AB15BC" w:rsidRPr="00AB15BC" w14:paraId="2FDC78F9" w14:textId="77777777" w:rsidTr="009E5918">
        <w:tc>
          <w:tcPr>
            <w:tcW w:w="9778" w:type="dxa"/>
            <w:shd w:val="clear" w:color="auto" w:fill="31849B" w:themeFill="accent5" w:themeFillShade="BF"/>
          </w:tcPr>
          <w:p w14:paraId="6009F1C0" w14:textId="77777777" w:rsidR="00AB15BC" w:rsidRPr="00AB15BC" w:rsidRDefault="00AB15BC" w:rsidP="00AB15BC">
            <w:pPr>
              <w:jc w:val="center"/>
              <w:rPr>
                <w:color w:val="FFFFFF" w:themeColor="background1"/>
                <w:sz w:val="40"/>
                <w:szCs w:val="40"/>
              </w:rPr>
            </w:pPr>
          </w:p>
          <w:p w14:paraId="788C44F0" w14:textId="166EB619" w:rsidR="00AB15BC" w:rsidRPr="00AB15BC" w:rsidRDefault="00AB15BC" w:rsidP="00AB15BC">
            <w:pPr>
              <w:jc w:val="center"/>
              <w:rPr>
                <w:color w:val="FFFFFF" w:themeColor="background1"/>
                <w:sz w:val="40"/>
                <w:szCs w:val="40"/>
              </w:rPr>
            </w:pPr>
            <w:r w:rsidRPr="00AB15BC">
              <w:rPr>
                <w:color w:val="FFFFFF" w:themeColor="background1"/>
                <w:sz w:val="40"/>
                <w:szCs w:val="40"/>
              </w:rPr>
              <w:t xml:space="preserve">Foire aux questions </w:t>
            </w:r>
            <w:r w:rsidR="00C6379F">
              <w:rPr>
                <w:color w:val="FFFFFF" w:themeColor="background1"/>
                <w:sz w:val="40"/>
                <w:szCs w:val="40"/>
              </w:rPr>
              <w:t>RSU 202</w:t>
            </w:r>
            <w:r w:rsidR="00635115">
              <w:rPr>
                <w:color w:val="FFFFFF" w:themeColor="background1"/>
                <w:sz w:val="40"/>
                <w:szCs w:val="40"/>
              </w:rPr>
              <w:t>1</w:t>
            </w:r>
          </w:p>
          <w:p w14:paraId="383DA47F" w14:textId="77777777" w:rsidR="00AB15BC" w:rsidRPr="00AB15BC" w:rsidRDefault="00AB15BC" w:rsidP="00AB15BC">
            <w:pPr>
              <w:jc w:val="center"/>
              <w:rPr>
                <w:color w:val="FFFFFF" w:themeColor="background1"/>
                <w:sz w:val="40"/>
                <w:szCs w:val="40"/>
              </w:rPr>
            </w:pPr>
          </w:p>
        </w:tc>
      </w:tr>
    </w:tbl>
    <w:sdt>
      <w:sdtPr>
        <w:rPr>
          <w:rFonts w:ascii="Times New Roman" w:eastAsia="Times New Roman" w:hAnsi="Times New Roman" w:cs="Times New Roman"/>
          <w:b w:val="0"/>
          <w:bCs w:val="0"/>
          <w:color w:val="auto"/>
          <w:sz w:val="24"/>
          <w:szCs w:val="20"/>
          <w:u w:val="none"/>
        </w:rPr>
        <w:id w:val="1731187088"/>
        <w:docPartObj>
          <w:docPartGallery w:val="Table of Contents"/>
          <w:docPartUnique/>
        </w:docPartObj>
      </w:sdtPr>
      <w:sdtEndPr>
        <w:rPr>
          <w:rFonts w:asciiTheme="minorHAnsi" w:hAnsiTheme="minorHAnsi"/>
        </w:rPr>
      </w:sdtEndPr>
      <w:sdtContent>
        <w:p w14:paraId="3819C452" w14:textId="77777777" w:rsidR="00D31D56" w:rsidRDefault="00D31D56" w:rsidP="00711885">
          <w:pPr>
            <w:pStyle w:val="En-ttedetabledesmatires"/>
          </w:pPr>
          <w:r>
            <w:t>Contenu</w:t>
          </w:r>
        </w:p>
        <w:p w14:paraId="2878CC3E" w14:textId="6572DBA9" w:rsidR="00997735" w:rsidRDefault="00EB3A22">
          <w:pPr>
            <w:pStyle w:val="TM1"/>
            <w:tabs>
              <w:tab w:val="right" w:leader="dot" w:pos="9628"/>
            </w:tabs>
            <w:rPr>
              <w:rFonts w:eastAsiaTheme="minorEastAsia" w:cstheme="minorBidi"/>
              <w:noProof/>
              <w:sz w:val="22"/>
              <w:szCs w:val="22"/>
            </w:rPr>
          </w:pPr>
          <w:r>
            <w:fldChar w:fldCharType="begin"/>
          </w:r>
          <w:r w:rsidR="00D31D56">
            <w:instrText xml:space="preserve"> TOC \o "1-3" \h \z \u </w:instrText>
          </w:r>
          <w:r>
            <w:fldChar w:fldCharType="separate"/>
          </w:r>
          <w:hyperlink w:anchor="_Toc104276123" w:history="1">
            <w:r w:rsidR="00997735" w:rsidRPr="002D0271">
              <w:rPr>
                <w:rStyle w:val="Lienhypertexte"/>
                <w:noProof/>
              </w:rPr>
              <w:t>Généralités</w:t>
            </w:r>
            <w:r w:rsidR="00997735">
              <w:rPr>
                <w:noProof/>
                <w:webHidden/>
              </w:rPr>
              <w:tab/>
            </w:r>
            <w:r w:rsidR="00997735">
              <w:rPr>
                <w:noProof/>
                <w:webHidden/>
              </w:rPr>
              <w:fldChar w:fldCharType="begin"/>
            </w:r>
            <w:r w:rsidR="00997735">
              <w:rPr>
                <w:noProof/>
                <w:webHidden/>
              </w:rPr>
              <w:instrText xml:space="preserve"> PAGEREF _Toc104276123 \h </w:instrText>
            </w:r>
            <w:r w:rsidR="00997735">
              <w:rPr>
                <w:noProof/>
                <w:webHidden/>
              </w:rPr>
            </w:r>
            <w:r w:rsidR="00997735">
              <w:rPr>
                <w:noProof/>
                <w:webHidden/>
              </w:rPr>
              <w:fldChar w:fldCharType="separate"/>
            </w:r>
            <w:r w:rsidR="00AA01AF">
              <w:rPr>
                <w:noProof/>
                <w:webHidden/>
              </w:rPr>
              <w:t>2</w:t>
            </w:r>
            <w:r w:rsidR="00997735">
              <w:rPr>
                <w:noProof/>
                <w:webHidden/>
              </w:rPr>
              <w:fldChar w:fldCharType="end"/>
            </w:r>
          </w:hyperlink>
        </w:p>
        <w:p w14:paraId="3D4041A3" w14:textId="78D09EA6" w:rsidR="00997735" w:rsidRDefault="00000000">
          <w:pPr>
            <w:pStyle w:val="TM1"/>
            <w:tabs>
              <w:tab w:val="right" w:leader="dot" w:pos="9628"/>
            </w:tabs>
            <w:rPr>
              <w:rFonts w:eastAsiaTheme="minorEastAsia" w:cstheme="minorBidi"/>
              <w:noProof/>
              <w:sz w:val="22"/>
              <w:szCs w:val="22"/>
            </w:rPr>
          </w:pPr>
          <w:hyperlink w:anchor="_Toc104276124" w:history="1">
            <w:r w:rsidR="00997735" w:rsidRPr="002D0271">
              <w:rPr>
                <w:rStyle w:val="Lienhypertexte"/>
                <w:noProof/>
              </w:rPr>
              <w:t>Emploi</w:t>
            </w:r>
            <w:r w:rsidR="00997735">
              <w:rPr>
                <w:noProof/>
                <w:webHidden/>
              </w:rPr>
              <w:tab/>
            </w:r>
            <w:r w:rsidR="00997735">
              <w:rPr>
                <w:noProof/>
                <w:webHidden/>
              </w:rPr>
              <w:fldChar w:fldCharType="begin"/>
            </w:r>
            <w:r w:rsidR="00997735">
              <w:rPr>
                <w:noProof/>
                <w:webHidden/>
              </w:rPr>
              <w:instrText xml:space="preserve"> PAGEREF _Toc104276124 \h </w:instrText>
            </w:r>
            <w:r w:rsidR="00997735">
              <w:rPr>
                <w:noProof/>
                <w:webHidden/>
              </w:rPr>
            </w:r>
            <w:r w:rsidR="00997735">
              <w:rPr>
                <w:noProof/>
                <w:webHidden/>
              </w:rPr>
              <w:fldChar w:fldCharType="separate"/>
            </w:r>
            <w:r w:rsidR="00AA01AF">
              <w:rPr>
                <w:noProof/>
                <w:webHidden/>
              </w:rPr>
              <w:t>9</w:t>
            </w:r>
            <w:r w:rsidR="00997735">
              <w:rPr>
                <w:noProof/>
                <w:webHidden/>
              </w:rPr>
              <w:fldChar w:fldCharType="end"/>
            </w:r>
          </w:hyperlink>
        </w:p>
        <w:p w14:paraId="6522DF42" w14:textId="5827AB52" w:rsidR="00997735" w:rsidRDefault="00000000">
          <w:pPr>
            <w:pStyle w:val="TM1"/>
            <w:tabs>
              <w:tab w:val="right" w:leader="dot" w:pos="9628"/>
            </w:tabs>
            <w:rPr>
              <w:rFonts w:eastAsiaTheme="minorEastAsia" w:cstheme="minorBidi"/>
              <w:noProof/>
              <w:sz w:val="22"/>
              <w:szCs w:val="22"/>
            </w:rPr>
          </w:pPr>
          <w:hyperlink w:anchor="_Toc104276125" w:history="1">
            <w:r w:rsidR="00997735" w:rsidRPr="002D0271">
              <w:rPr>
                <w:rStyle w:val="Lienhypertexte"/>
                <w:noProof/>
              </w:rPr>
              <w:t>Recrutement et parcours professionnel</w:t>
            </w:r>
            <w:r w:rsidR="00997735">
              <w:rPr>
                <w:noProof/>
                <w:webHidden/>
              </w:rPr>
              <w:tab/>
            </w:r>
            <w:r w:rsidR="00997735">
              <w:rPr>
                <w:noProof/>
                <w:webHidden/>
              </w:rPr>
              <w:fldChar w:fldCharType="begin"/>
            </w:r>
            <w:r w:rsidR="00997735">
              <w:rPr>
                <w:noProof/>
                <w:webHidden/>
              </w:rPr>
              <w:instrText xml:space="preserve"> PAGEREF _Toc104276125 \h </w:instrText>
            </w:r>
            <w:r w:rsidR="00997735">
              <w:rPr>
                <w:noProof/>
                <w:webHidden/>
              </w:rPr>
            </w:r>
            <w:r w:rsidR="00997735">
              <w:rPr>
                <w:noProof/>
                <w:webHidden/>
              </w:rPr>
              <w:fldChar w:fldCharType="separate"/>
            </w:r>
            <w:r w:rsidR="00AA01AF">
              <w:rPr>
                <w:noProof/>
                <w:webHidden/>
              </w:rPr>
              <w:t>19</w:t>
            </w:r>
            <w:r w:rsidR="00997735">
              <w:rPr>
                <w:noProof/>
                <w:webHidden/>
              </w:rPr>
              <w:fldChar w:fldCharType="end"/>
            </w:r>
          </w:hyperlink>
        </w:p>
        <w:p w14:paraId="05DBC70A" w14:textId="47804242" w:rsidR="00997735" w:rsidRDefault="00000000">
          <w:pPr>
            <w:pStyle w:val="TM1"/>
            <w:tabs>
              <w:tab w:val="right" w:leader="dot" w:pos="9628"/>
            </w:tabs>
            <w:rPr>
              <w:rFonts w:eastAsiaTheme="minorEastAsia" w:cstheme="minorBidi"/>
              <w:noProof/>
              <w:sz w:val="22"/>
              <w:szCs w:val="22"/>
            </w:rPr>
          </w:pPr>
          <w:hyperlink w:anchor="_Toc104276126" w:history="1">
            <w:r w:rsidR="00997735" w:rsidRPr="002D0271">
              <w:rPr>
                <w:rStyle w:val="Lienhypertexte"/>
                <w:noProof/>
              </w:rPr>
              <w:t>Organisation du travail</w:t>
            </w:r>
            <w:r w:rsidR="00997735">
              <w:rPr>
                <w:noProof/>
                <w:webHidden/>
              </w:rPr>
              <w:tab/>
            </w:r>
            <w:r w:rsidR="00997735">
              <w:rPr>
                <w:noProof/>
                <w:webHidden/>
              </w:rPr>
              <w:fldChar w:fldCharType="begin"/>
            </w:r>
            <w:r w:rsidR="00997735">
              <w:rPr>
                <w:noProof/>
                <w:webHidden/>
              </w:rPr>
              <w:instrText xml:space="preserve"> PAGEREF _Toc104276126 \h </w:instrText>
            </w:r>
            <w:r w:rsidR="00997735">
              <w:rPr>
                <w:noProof/>
                <w:webHidden/>
              </w:rPr>
            </w:r>
            <w:r w:rsidR="00997735">
              <w:rPr>
                <w:noProof/>
                <w:webHidden/>
              </w:rPr>
              <w:fldChar w:fldCharType="separate"/>
            </w:r>
            <w:r w:rsidR="00AA01AF">
              <w:rPr>
                <w:noProof/>
                <w:webHidden/>
              </w:rPr>
              <w:t>25</w:t>
            </w:r>
            <w:r w:rsidR="00997735">
              <w:rPr>
                <w:noProof/>
                <w:webHidden/>
              </w:rPr>
              <w:fldChar w:fldCharType="end"/>
            </w:r>
          </w:hyperlink>
        </w:p>
        <w:p w14:paraId="5B6F78DD" w14:textId="65F8D270" w:rsidR="00997735" w:rsidRDefault="00000000">
          <w:pPr>
            <w:pStyle w:val="TM1"/>
            <w:tabs>
              <w:tab w:val="right" w:leader="dot" w:pos="9628"/>
            </w:tabs>
            <w:rPr>
              <w:rFonts w:eastAsiaTheme="minorEastAsia" w:cstheme="minorBidi"/>
              <w:noProof/>
              <w:sz w:val="22"/>
              <w:szCs w:val="22"/>
            </w:rPr>
          </w:pPr>
          <w:hyperlink w:anchor="_Toc104276127" w:history="1">
            <w:r w:rsidR="00997735" w:rsidRPr="002D0271">
              <w:rPr>
                <w:rStyle w:val="Lienhypertexte"/>
                <w:noProof/>
              </w:rPr>
              <w:t>Rémunérations</w:t>
            </w:r>
            <w:r w:rsidR="00997735">
              <w:rPr>
                <w:noProof/>
                <w:webHidden/>
              </w:rPr>
              <w:tab/>
            </w:r>
            <w:r w:rsidR="00997735">
              <w:rPr>
                <w:noProof/>
                <w:webHidden/>
              </w:rPr>
              <w:fldChar w:fldCharType="begin"/>
            </w:r>
            <w:r w:rsidR="00997735">
              <w:rPr>
                <w:noProof/>
                <w:webHidden/>
              </w:rPr>
              <w:instrText xml:space="preserve"> PAGEREF _Toc104276127 \h </w:instrText>
            </w:r>
            <w:r w:rsidR="00997735">
              <w:rPr>
                <w:noProof/>
                <w:webHidden/>
              </w:rPr>
            </w:r>
            <w:r w:rsidR="00997735">
              <w:rPr>
                <w:noProof/>
                <w:webHidden/>
              </w:rPr>
              <w:fldChar w:fldCharType="separate"/>
            </w:r>
            <w:r w:rsidR="00AA01AF">
              <w:rPr>
                <w:noProof/>
                <w:webHidden/>
              </w:rPr>
              <w:t>31</w:t>
            </w:r>
            <w:r w:rsidR="00997735">
              <w:rPr>
                <w:noProof/>
                <w:webHidden/>
              </w:rPr>
              <w:fldChar w:fldCharType="end"/>
            </w:r>
          </w:hyperlink>
        </w:p>
        <w:p w14:paraId="5E7C92E5" w14:textId="51768DBE" w:rsidR="00997735" w:rsidRDefault="00000000">
          <w:pPr>
            <w:pStyle w:val="TM1"/>
            <w:tabs>
              <w:tab w:val="right" w:leader="dot" w:pos="9628"/>
            </w:tabs>
            <w:rPr>
              <w:rFonts w:eastAsiaTheme="minorEastAsia" w:cstheme="minorBidi"/>
              <w:noProof/>
              <w:sz w:val="22"/>
              <w:szCs w:val="22"/>
            </w:rPr>
          </w:pPr>
          <w:hyperlink w:anchor="_Toc104276128" w:history="1">
            <w:r w:rsidR="00997735" w:rsidRPr="002D0271">
              <w:rPr>
                <w:rStyle w:val="Lienhypertexte"/>
                <w:noProof/>
              </w:rPr>
              <w:t>Santé et sécurité au travail</w:t>
            </w:r>
            <w:r w:rsidR="00997735">
              <w:rPr>
                <w:noProof/>
                <w:webHidden/>
              </w:rPr>
              <w:tab/>
            </w:r>
            <w:r w:rsidR="00997735">
              <w:rPr>
                <w:noProof/>
                <w:webHidden/>
              </w:rPr>
              <w:fldChar w:fldCharType="begin"/>
            </w:r>
            <w:r w:rsidR="00997735">
              <w:rPr>
                <w:noProof/>
                <w:webHidden/>
              </w:rPr>
              <w:instrText xml:space="preserve"> PAGEREF _Toc104276128 \h </w:instrText>
            </w:r>
            <w:r w:rsidR="00997735">
              <w:rPr>
                <w:noProof/>
                <w:webHidden/>
              </w:rPr>
            </w:r>
            <w:r w:rsidR="00997735">
              <w:rPr>
                <w:noProof/>
                <w:webHidden/>
              </w:rPr>
              <w:fldChar w:fldCharType="separate"/>
            </w:r>
            <w:r w:rsidR="00AA01AF">
              <w:rPr>
                <w:noProof/>
                <w:webHidden/>
              </w:rPr>
              <w:t>36</w:t>
            </w:r>
            <w:r w:rsidR="00997735">
              <w:rPr>
                <w:noProof/>
                <w:webHidden/>
              </w:rPr>
              <w:fldChar w:fldCharType="end"/>
            </w:r>
          </w:hyperlink>
        </w:p>
        <w:p w14:paraId="6C1C4882" w14:textId="4A902EB3" w:rsidR="00997735" w:rsidRDefault="00000000">
          <w:pPr>
            <w:pStyle w:val="TM1"/>
            <w:tabs>
              <w:tab w:val="right" w:leader="dot" w:pos="9628"/>
            </w:tabs>
            <w:rPr>
              <w:rFonts w:eastAsiaTheme="minorEastAsia" w:cstheme="minorBidi"/>
              <w:noProof/>
              <w:sz w:val="22"/>
              <w:szCs w:val="22"/>
            </w:rPr>
          </w:pPr>
          <w:hyperlink w:anchor="_Toc104276129" w:history="1">
            <w:r w:rsidR="00997735" w:rsidRPr="002D0271">
              <w:rPr>
                <w:rStyle w:val="Lienhypertexte"/>
                <w:noProof/>
              </w:rPr>
              <w:t>Formation</w:t>
            </w:r>
            <w:r w:rsidR="00997735">
              <w:rPr>
                <w:noProof/>
                <w:webHidden/>
              </w:rPr>
              <w:tab/>
            </w:r>
            <w:r w:rsidR="00997735">
              <w:rPr>
                <w:noProof/>
                <w:webHidden/>
              </w:rPr>
              <w:fldChar w:fldCharType="begin"/>
            </w:r>
            <w:r w:rsidR="00997735">
              <w:rPr>
                <w:noProof/>
                <w:webHidden/>
              </w:rPr>
              <w:instrText xml:space="preserve"> PAGEREF _Toc104276129 \h </w:instrText>
            </w:r>
            <w:r w:rsidR="00997735">
              <w:rPr>
                <w:noProof/>
                <w:webHidden/>
              </w:rPr>
            </w:r>
            <w:r w:rsidR="00997735">
              <w:rPr>
                <w:noProof/>
                <w:webHidden/>
              </w:rPr>
              <w:fldChar w:fldCharType="separate"/>
            </w:r>
            <w:r w:rsidR="00AA01AF">
              <w:rPr>
                <w:noProof/>
                <w:webHidden/>
              </w:rPr>
              <w:t>44</w:t>
            </w:r>
            <w:r w:rsidR="00997735">
              <w:rPr>
                <w:noProof/>
                <w:webHidden/>
              </w:rPr>
              <w:fldChar w:fldCharType="end"/>
            </w:r>
          </w:hyperlink>
        </w:p>
        <w:p w14:paraId="1416A3F5" w14:textId="29FC3F53" w:rsidR="00997735" w:rsidRDefault="00000000">
          <w:pPr>
            <w:pStyle w:val="TM1"/>
            <w:tabs>
              <w:tab w:val="right" w:leader="dot" w:pos="9628"/>
            </w:tabs>
            <w:rPr>
              <w:rFonts w:eastAsiaTheme="minorEastAsia" w:cstheme="minorBidi"/>
              <w:noProof/>
              <w:sz w:val="22"/>
              <w:szCs w:val="22"/>
            </w:rPr>
          </w:pPr>
          <w:hyperlink w:anchor="_Toc104276130" w:history="1">
            <w:r w:rsidR="00997735" w:rsidRPr="002D0271">
              <w:rPr>
                <w:rStyle w:val="Lienhypertexte"/>
                <w:noProof/>
              </w:rPr>
              <w:t>Dialogue social</w:t>
            </w:r>
            <w:r w:rsidR="00997735">
              <w:rPr>
                <w:noProof/>
                <w:webHidden/>
              </w:rPr>
              <w:tab/>
            </w:r>
            <w:r w:rsidR="00997735">
              <w:rPr>
                <w:noProof/>
                <w:webHidden/>
              </w:rPr>
              <w:fldChar w:fldCharType="begin"/>
            </w:r>
            <w:r w:rsidR="00997735">
              <w:rPr>
                <w:noProof/>
                <w:webHidden/>
              </w:rPr>
              <w:instrText xml:space="preserve"> PAGEREF _Toc104276130 \h </w:instrText>
            </w:r>
            <w:r w:rsidR="00997735">
              <w:rPr>
                <w:noProof/>
                <w:webHidden/>
              </w:rPr>
            </w:r>
            <w:r w:rsidR="00997735">
              <w:rPr>
                <w:noProof/>
                <w:webHidden/>
              </w:rPr>
              <w:fldChar w:fldCharType="separate"/>
            </w:r>
            <w:r w:rsidR="00AA01AF">
              <w:rPr>
                <w:noProof/>
                <w:webHidden/>
              </w:rPr>
              <w:t>47</w:t>
            </w:r>
            <w:r w:rsidR="00997735">
              <w:rPr>
                <w:noProof/>
                <w:webHidden/>
              </w:rPr>
              <w:fldChar w:fldCharType="end"/>
            </w:r>
          </w:hyperlink>
        </w:p>
        <w:p w14:paraId="439CA3E1" w14:textId="639E426A" w:rsidR="00997735" w:rsidRDefault="00000000">
          <w:pPr>
            <w:pStyle w:val="TM1"/>
            <w:tabs>
              <w:tab w:val="right" w:leader="dot" w:pos="9628"/>
            </w:tabs>
            <w:rPr>
              <w:rFonts w:eastAsiaTheme="minorEastAsia" w:cstheme="minorBidi"/>
              <w:noProof/>
              <w:sz w:val="22"/>
              <w:szCs w:val="22"/>
            </w:rPr>
          </w:pPr>
          <w:hyperlink w:anchor="_Toc104276131" w:history="1">
            <w:r w:rsidR="00997735" w:rsidRPr="002D0271">
              <w:rPr>
                <w:rStyle w:val="Lienhypertexte"/>
                <w:noProof/>
              </w:rPr>
              <w:t>Action sociale et protection sociale</w:t>
            </w:r>
            <w:r w:rsidR="00997735">
              <w:rPr>
                <w:noProof/>
                <w:webHidden/>
              </w:rPr>
              <w:tab/>
            </w:r>
            <w:r w:rsidR="00997735">
              <w:rPr>
                <w:noProof/>
                <w:webHidden/>
              </w:rPr>
              <w:fldChar w:fldCharType="begin"/>
            </w:r>
            <w:r w:rsidR="00997735">
              <w:rPr>
                <w:noProof/>
                <w:webHidden/>
              </w:rPr>
              <w:instrText xml:space="preserve"> PAGEREF _Toc104276131 \h </w:instrText>
            </w:r>
            <w:r w:rsidR="00997735">
              <w:rPr>
                <w:noProof/>
                <w:webHidden/>
              </w:rPr>
            </w:r>
            <w:r w:rsidR="00997735">
              <w:rPr>
                <w:noProof/>
                <w:webHidden/>
              </w:rPr>
              <w:fldChar w:fldCharType="separate"/>
            </w:r>
            <w:r w:rsidR="00AA01AF">
              <w:rPr>
                <w:noProof/>
                <w:webHidden/>
              </w:rPr>
              <w:t>50</w:t>
            </w:r>
            <w:r w:rsidR="00997735">
              <w:rPr>
                <w:noProof/>
                <w:webHidden/>
              </w:rPr>
              <w:fldChar w:fldCharType="end"/>
            </w:r>
          </w:hyperlink>
        </w:p>
        <w:p w14:paraId="6B47B937" w14:textId="060C3363" w:rsidR="00997735" w:rsidRDefault="00000000">
          <w:pPr>
            <w:pStyle w:val="TM1"/>
            <w:tabs>
              <w:tab w:val="right" w:leader="dot" w:pos="9628"/>
            </w:tabs>
            <w:rPr>
              <w:rFonts w:eastAsiaTheme="minorEastAsia" w:cstheme="minorBidi"/>
              <w:noProof/>
              <w:sz w:val="22"/>
              <w:szCs w:val="22"/>
            </w:rPr>
          </w:pPr>
          <w:hyperlink w:anchor="_Toc104276132" w:history="1">
            <w:r w:rsidR="00997735" w:rsidRPr="002D0271">
              <w:rPr>
                <w:rStyle w:val="Lienhypertexte"/>
                <w:noProof/>
              </w:rPr>
              <w:t>Discipline</w:t>
            </w:r>
            <w:r w:rsidR="00997735">
              <w:rPr>
                <w:noProof/>
                <w:webHidden/>
              </w:rPr>
              <w:tab/>
            </w:r>
            <w:r w:rsidR="00997735">
              <w:rPr>
                <w:noProof/>
                <w:webHidden/>
              </w:rPr>
              <w:fldChar w:fldCharType="begin"/>
            </w:r>
            <w:r w:rsidR="00997735">
              <w:rPr>
                <w:noProof/>
                <w:webHidden/>
              </w:rPr>
              <w:instrText xml:space="preserve"> PAGEREF _Toc104276132 \h </w:instrText>
            </w:r>
            <w:r w:rsidR="00997735">
              <w:rPr>
                <w:noProof/>
                <w:webHidden/>
              </w:rPr>
            </w:r>
            <w:r w:rsidR="00997735">
              <w:rPr>
                <w:noProof/>
                <w:webHidden/>
              </w:rPr>
              <w:fldChar w:fldCharType="separate"/>
            </w:r>
            <w:r w:rsidR="00AA01AF">
              <w:rPr>
                <w:noProof/>
                <w:webHidden/>
              </w:rPr>
              <w:t>51</w:t>
            </w:r>
            <w:r w:rsidR="00997735">
              <w:rPr>
                <w:noProof/>
                <w:webHidden/>
              </w:rPr>
              <w:fldChar w:fldCharType="end"/>
            </w:r>
          </w:hyperlink>
        </w:p>
        <w:p w14:paraId="399961F3" w14:textId="55EC7089" w:rsidR="00997735" w:rsidRDefault="00000000">
          <w:pPr>
            <w:pStyle w:val="TM1"/>
            <w:tabs>
              <w:tab w:val="right" w:leader="dot" w:pos="9628"/>
            </w:tabs>
            <w:rPr>
              <w:rFonts w:eastAsiaTheme="minorEastAsia" w:cstheme="minorBidi"/>
              <w:noProof/>
              <w:sz w:val="22"/>
              <w:szCs w:val="22"/>
            </w:rPr>
          </w:pPr>
          <w:hyperlink w:anchor="_Toc104276133" w:history="1">
            <w:r w:rsidR="00997735" w:rsidRPr="002D0271">
              <w:rPr>
                <w:rStyle w:val="Lienhypertexte"/>
                <w:noProof/>
              </w:rPr>
              <w:t>Handitorial</w:t>
            </w:r>
            <w:r w:rsidR="00997735">
              <w:rPr>
                <w:noProof/>
                <w:webHidden/>
              </w:rPr>
              <w:tab/>
            </w:r>
            <w:r w:rsidR="00997735">
              <w:rPr>
                <w:noProof/>
                <w:webHidden/>
              </w:rPr>
              <w:fldChar w:fldCharType="begin"/>
            </w:r>
            <w:r w:rsidR="00997735">
              <w:rPr>
                <w:noProof/>
                <w:webHidden/>
              </w:rPr>
              <w:instrText xml:space="preserve"> PAGEREF _Toc104276133 \h </w:instrText>
            </w:r>
            <w:r w:rsidR="00997735">
              <w:rPr>
                <w:noProof/>
                <w:webHidden/>
              </w:rPr>
            </w:r>
            <w:r w:rsidR="00997735">
              <w:rPr>
                <w:noProof/>
                <w:webHidden/>
              </w:rPr>
              <w:fldChar w:fldCharType="separate"/>
            </w:r>
            <w:r w:rsidR="00AA01AF">
              <w:rPr>
                <w:noProof/>
                <w:webHidden/>
              </w:rPr>
              <w:t>52</w:t>
            </w:r>
            <w:r w:rsidR="00997735">
              <w:rPr>
                <w:noProof/>
                <w:webHidden/>
              </w:rPr>
              <w:fldChar w:fldCharType="end"/>
            </w:r>
          </w:hyperlink>
        </w:p>
        <w:p w14:paraId="4C4F8191" w14:textId="025FC3EE" w:rsidR="00997735" w:rsidRDefault="00000000">
          <w:pPr>
            <w:pStyle w:val="TM1"/>
            <w:tabs>
              <w:tab w:val="right" w:leader="dot" w:pos="9628"/>
            </w:tabs>
            <w:rPr>
              <w:rFonts w:eastAsiaTheme="minorEastAsia" w:cstheme="minorBidi"/>
              <w:noProof/>
              <w:sz w:val="22"/>
              <w:szCs w:val="22"/>
            </w:rPr>
          </w:pPr>
          <w:hyperlink w:anchor="_Toc104276134" w:history="1">
            <w:r w:rsidR="00997735" w:rsidRPr="002D0271">
              <w:rPr>
                <w:rStyle w:val="Lienhypertexte"/>
                <w:noProof/>
              </w:rPr>
              <w:t>Le Rapport Annuel sur la Santé, la Sécurité et les Conditions de travail (RASSCT)</w:t>
            </w:r>
            <w:r w:rsidR="00997735">
              <w:rPr>
                <w:noProof/>
                <w:webHidden/>
              </w:rPr>
              <w:tab/>
            </w:r>
            <w:r w:rsidR="00997735">
              <w:rPr>
                <w:noProof/>
                <w:webHidden/>
              </w:rPr>
              <w:fldChar w:fldCharType="begin"/>
            </w:r>
            <w:r w:rsidR="00997735">
              <w:rPr>
                <w:noProof/>
                <w:webHidden/>
              </w:rPr>
              <w:instrText xml:space="preserve"> PAGEREF _Toc104276134 \h </w:instrText>
            </w:r>
            <w:r w:rsidR="00997735">
              <w:rPr>
                <w:noProof/>
                <w:webHidden/>
              </w:rPr>
            </w:r>
            <w:r w:rsidR="00997735">
              <w:rPr>
                <w:noProof/>
                <w:webHidden/>
              </w:rPr>
              <w:fldChar w:fldCharType="separate"/>
            </w:r>
            <w:r w:rsidR="00AA01AF">
              <w:rPr>
                <w:noProof/>
                <w:webHidden/>
              </w:rPr>
              <w:t>53</w:t>
            </w:r>
            <w:r w:rsidR="00997735">
              <w:rPr>
                <w:noProof/>
                <w:webHidden/>
              </w:rPr>
              <w:fldChar w:fldCharType="end"/>
            </w:r>
          </w:hyperlink>
        </w:p>
        <w:p w14:paraId="0281762A" w14:textId="212A6CCC" w:rsidR="00D31D56" w:rsidRDefault="00EB3A22">
          <w:r>
            <w:rPr>
              <w:b/>
              <w:bCs/>
            </w:rPr>
            <w:fldChar w:fldCharType="end"/>
          </w:r>
        </w:p>
      </w:sdtContent>
    </w:sdt>
    <w:p w14:paraId="3B9EDE3C" w14:textId="77777777" w:rsidR="004101B9" w:rsidRDefault="004101B9">
      <w:pPr>
        <w:overflowPunct/>
        <w:autoSpaceDE/>
        <w:autoSpaceDN/>
        <w:adjustRightInd/>
        <w:textAlignment w:val="auto"/>
        <w:rPr>
          <w:color w:val="00B050"/>
          <w:u w:val="single"/>
        </w:rPr>
      </w:pPr>
    </w:p>
    <w:p w14:paraId="58C06762" w14:textId="77777777" w:rsidR="004101B9" w:rsidRDefault="004101B9">
      <w:pPr>
        <w:overflowPunct/>
        <w:autoSpaceDE/>
        <w:autoSpaceDN/>
        <w:adjustRightInd/>
        <w:textAlignment w:val="auto"/>
        <w:rPr>
          <w:color w:val="00B050"/>
          <w:u w:val="single"/>
        </w:rPr>
      </w:pPr>
    </w:p>
    <w:p w14:paraId="684B054C" w14:textId="77777777" w:rsidR="004101B9" w:rsidRDefault="004101B9">
      <w:pPr>
        <w:overflowPunct/>
        <w:autoSpaceDE/>
        <w:autoSpaceDN/>
        <w:adjustRightInd/>
        <w:textAlignment w:val="auto"/>
        <w:rPr>
          <w:color w:val="00B050"/>
          <w:u w:val="single"/>
        </w:rPr>
      </w:pPr>
    </w:p>
    <w:p w14:paraId="211727A0" w14:textId="77777777" w:rsidR="004101B9" w:rsidRDefault="004101B9">
      <w:pPr>
        <w:overflowPunct/>
        <w:autoSpaceDE/>
        <w:autoSpaceDN/>
        <w:adjustRightInd/>
        <w:textAlignment w:val="auto"/>
        <w:rPr>
          <w:color w:val="00B050"/>
          <w:u w:val="single"/>
        </w:rPr>
      </w:pPr>
    </w:p>
    <w:p w14:paraId="1057F800" w14:textId="77777777" w:rsidR="004101B9" w:rsidRDefault="004101B9">
      <w:pPr>
        <w:overflowPunct/>
        <w:autoSpaceDE/>
        <w:autoSpaceDN/>
        <w:adjustRightInd/>
        <w:textAlignment w:val="auto"/>
        <w:rPr>
          <w:color w:val="00B050"/>
          <w:u w:val="single"/>
        </w:rPr>
      </w:pPr>
    </w:p>
    <w:p w14:paraId="19D1C76F" w14:textId="77777777" w:rsidR="004101B9" w:rsidRDefault="004101B9">
      <w:pPr>
        <w:overflowPunct/>
        <w:autoSpaceDE/>
        <w:autoSpaceDN/>
        <w:adjustRightInd/>
        <w:textAlignment w:val="auto"/>
        <w:rPr>
          <w:color w:val="00B050"/>
          <w:u w:val="single"/>
        </w:rPr>
      </w:pPr>
    </w:p>
    <w:p w14:paraId="1FDC9FFA" w14:textId="77777777" w:rsidR="004101B9" w:rsidRDefault="004101B9">
      <w:pPr>
        <w:overflowPunct/>
        <w:autoSpaceDE/>
        <w:autoSpaceDN/>
        <w:adjustRightInd/>
        <w:textAlignment w:val="auto"/>
        <w:rPr>
          <w:color w:val="00B050"/>
          <w:u w:val="single"/>
        </w:rPr>
      </w:pPr>
    </w:p>
    <w:p w14:paraId="6DF20B91" w14:textId="77777777" w:rsidR="004101B9" w:rsidRDefault="004101B9">
      <w:pPr>
        <w:overflowPunct/>
        <w:autoSpaceDE/>
        <w:autoSpaceDN/>
        <w:adjustRightInd/>
        <w:textAlignment w:val="auto"/>
        <w:rPr>
          <w:color w:val="00B050"/>
          <w:u w:val="single"/>
        </w:rPr>
      </w:pPr>
    </w:p>
    <w:p w14:paraId="79B29A08" w14:textId="77777777" w:rsidR="004101B9" w:rsidRDefault="004101B9">
      <w:pPr>
        <w:overflowPunct/>
        <w:autoSpaceDE/>
        <w:autoSpaceDN/>
        <w:adjustRightInd/>
        <w:textAlignment w:val="auto"/>
        <w:rPr>
          <w:color w:val="00B050"/>
          <w:u w:val="single"/>
        </w:rPr>
      </w:pPr>
    </w:p>
    <w:p w14:paraId="53CC1586" w14:textId="77777777" w:rsidR="004101B9" w:rsidRDefault="004101B9">
      <w:pPr>
        <w:overflowPunct/>
        <w:autoSpaceDE/>
        <w:autoSpaceDN/>
        <w:adjustRightInd/>
        <w:textAlignment w:val="auto"/>
        <w:rPr>
          <w:color w:val="00B050"/>
          <w:u w:val="single"/>
        </w:rPr>
      </w:pPr>
    </w:p>
    <w:p w14:paraId="57628FD1" w14:textId="77777777" w:rsidR="004101B9" w:rsidRDefault="004101B9">
      <w:pPr>
        <w:overflowPunct/>
        <w:autoSpaceDE/>
        <w:autoSpaceDN/>
        <w:adjustRightInd/>
        <w:textAlignment w:val="auto"/>
        <w:rPr>
          <w:color w:val="00B050"/>
          <w:u w:val="single"/>
        </w:rPr>
      </w:pPr>
    </w:p>
    <w:p w14:paraId="7B343278" w14:textId="77777777" w:rsidR="004101B9" w:rsidRDefault="004101B9">
      <w:pPr>
        <w:overflowPunct/>
        <w:autoSpaceDE/>
        <w:autoSpaceDN/>
        <w:adjustRightInd/>
        <w:textAlignment w:val="auto"/>
        <w:rPr>
          <w:color w:val="00B050"/>
          <w:u w:val="single"/>
        </w:rPr>
      </w:pPr>
    </w:p>
    <w:p w14:paraId="1C8114DD" w14:textId="77777777" w:rsidR="004101B9" w:rsidRDefault="004101B9">
      <w:pPr>
        <w:overflowPunct/>
        <w:autoSpaceDE/>
        <w:autoSpaceDN/>
        <w:adjustRightInd/>
        <w:textAlignment w:val="auto"/>
        <w:rPr>
          <w:color w:val="00B050"/>
          <w:u w:val="single"/>
        </w:rPr>
      </w:pPr>
    </w:p>
    <w:p w14:paraId="1F0A3216" w14:textId="77777777" w:rsidR="004101B9" w:rsidRDefault="004101B9">
      <w:pPr>
        <w:overflowPunct/>
        <w:autoSpaceDE/>
        <w:autoSpaceDN/>
        <w:adjustRightInd/>
        <w:textAlignment w:val="auto"/>
        <w:rPr>
          <w:color w:val="00B050"/>
          <w:u w:val="single"/>
        </w:rPr>
      </w:pPr>
    </w:p>
    <w:p w14:paraId="65303AA0" w14:textId="77777777" w:rsidR="004101B9" w:rsidRDefault="004101B9">
      <w:pPr>
        <w:overflowPunct/>
        <w:autoSpaceDE/>
        <w:autoSpaceDN/>
        <w:adjustRightInd/>
        <w:textAlignment w:val="auto"/>
        <w:rPr>
          <w:color w:val="00B050"/>
          <w:u w:val="single"/>
        </w:rPr>
      </w:pPr>
    </w:p>
    <w:p w14:paraId="0645F4A7" w14:textId="77777777" w:rsidR="004101B9" w:rsidRDefault="004101B9">
      <w:pPr>
        <w:overflowPunct/>
        <w:autoSpaceDE/>
        <w:autoSpaceDN/>
        <w:adjustRightInd/>
        <w:textAlignment w:val="auto"/>
        <w:rPr>
          <w:color w:val="00B050"/>
          <w:u w:val="single"/>
        </w:rPr>
      </w:pPr>
    </w:p>
    <w:p w14:paraId="44C76D0E" w14:textId="77777777" w:rsidR="004101B9" w:rsidRDefault="004101B9">
      <w:pPr>
        <w:overflowPunct/>
        <w:autoSpaceDE/>
        <w:autoSpaceDN/>
        <w:adjustRightInd/>
        <w:textAlignment w:val="auto"/>
        <w:rPr>
          <w:color w:val="00B050"/>
          <w:u w:val="single"/>
        </w:rPr>
      </w:pPr>
    </w:p>
    <w:p w14:paraId="31AF8961" w14:textId="77777777" w:rsidR="004101B9" w:rsidRDefault="004101B9">
      <w:pPr>
        <w:overflowPunct/>
        <w:autoSpaceDE/>
        <w:autoSpaceDN/>
        <w:adjustRightInd/>
        <w:textAlignment w:val="auto"/>
        <w:rPr>
          <w:color w:val="00B050"/>
          <w:u w:val="single"/>
        </w:rPr>
      </w:pPr>
    </w:p>
    <w:p w14:paraId="3636192B" w14:textId="77777777" w:rsidR="004101B9" w:rsidRDefault="004101B9">
      <w:pPr>
        <w:overflowPunct/>
        <w:autoSpaceDE/>
        <w:autoSpaceDN/>
        <w:adjustRightInd/>
        <w:textAlignment w:val="auto"/>
        <w:rPr>
          <w:color w:val="00B050"/>
          <w:u w:val="single"/>
        </w:rPr>
      </w:pPr>
    </w:p>
    <w:p w14:paraId="547052AC" w14:textId="77777777" w:rsidR="004101B9" w:rsidRDefault="004101B9">
      <w:pPr>
        <w:overflowPunct/>
        <w:autoSpaceDE/>
        <w:autoSpaceDN/>
        <w:adjustRightInd/>
        <w:textAlignment w:val="auto"/>
        <w:rPr>
          <w:color w:val="00B050"/>
          <w:u w:val="single"/>
        </w:rPr>
      </w:pPr>
    </w:p>
    <w:p w14:paraId="74207855" w14:textId="77777777" w:rsidR="004101B9" w:rsidRDefault="004101B9">
      <w:pPr>
        <w:overflowPunct/>
        <w:autoSpaceDE/>
        <w:autoSpaceDN/>
        <w:adjustRightInd/>
        <w:textAlignment w:val="auto"/>
        <w:rPr>
          <w:color w:val="00B050"/>
          <w:u w:val="single"/>
        </w:rPr>
      </w:pPr>
    </w:p>
    <w:p w14:paraId="5D0A9D02" w14:textId="7BA4DCBA" w:rsidR="004101B9" w:rsidRPr="004101B9" w:rsidRDefault="004101B9">
      <w:pPr>
        <w:overflowPunct/>
        <w:autoSpaceDE/>
        <w:autoSpaceDN/>
        <w:adjustRightInd/>
        <w:textAlignment w:val="auto"/>
        <w:rPr>
          <w:i/>
        </w:rPr>
      </w:pPr>
      <w:r w:rsidRPr="004101B9">
        <w:rPr>
          <w:i/>
        </w:rPr>
        <w:t xml:space="preserve">Version du </w:t>
      </w:r>
      <w:r w:rsidR="0021447F">
        <w:rPr>
          <w:i/>
        </w:rPr>
        <w:t>8</w:t>
      </w:r>
      <w:r w:rsidRPr="004101B9">
        <w:rPr>
          <w:i/>
        </w:rPr>
        <w:t>/0</w:t>
      </w:r>
      <w:r w:rsidR="0021447F">
        <w:rPr>
          <w:i/>
        </w:rPr>
        <w:t>7</w:t>
      </w:r>
      <w:r w:rsidRPr="004101B9">
        <w:rPr>
          <w:i/>
        </w:rPr>
        <w:t>/2</w:t>
      </w:r>
      <w:r w:rsidR="00662A1E">
        <w:rPr>
          <w:i/>
        </w:rPr>
        <w:t>2</w:t>
      </w:r>
      <w:r w:rsidR="00711885" w:rsidRPr="004101B9">
        <w:rPr>
          <w:i/>
        </w:rPr>
        <w:br w:type="page"/>
      </w:r>
    </w:p>
    <w:p w14:paraId="7B363D59" w14:textId="77777777" w:rsidR="00A24BA2" w:rsidRPr="00711885" w:rsidRDefault="00AB15BC" w:rsidP="00711885">
      <w:pPr>
        <w:pStyle w:val="Titre1"/>
      </w:pPr>
      <w:bookmarkStart w:id="0" w:name="_Toc104276123"/>
      <w:r w:rsidRPr="00711885">
        <w:lastRenderedPageBreak/>
        <w:t>Généralités</w:t>
      </w:r>
      <w:bookmarkEnd w:id="0"/>
    </w:p>
    <w:p w14:paraId="6ADC878D" w14:textId="77777777" w:rsidR="00711885" w:rsidRPr="00711885" w:rsidRDefault="00711885" w:rsidP="00711885"/>
    <w:p w14:paraId="29490EC1" w14:textId="3DB4C73E" w:rsidR="00711885" w:rsidRPr="00F5262D" w:rsidRDefault="00711885" w:rsidP="00711885">
      <w:pPr>
        <w:jc w:val="both"/>
        <w:rPr>
          <w:b/>
          <w:color w:val="00B0F0"/>
        </w:rPr>
      </w:pPr>
      <w:r w:rsidRPr="00F5262D">
        <w:rPr>
          <w:b/>
          <w:color w:val="00B0F0"/>
        </w:rPr>
        <w:t xml:space="preserve">A quoi sert le </w:t>
      </w:r>
      <w:r w:rsidR="00531FCA">
        <w:rPr>
          <w:b/>
          <w:color w:val="00B0F0"/>
        </w:rPr>
        <w:t>rapport social unique</w:t>
      </w:r>
      <w:r w:rsidRPr="00F5262D">
        <w:rPr>
          <w:b/>
          <w:color w:val="00B0F0"/>
        </w:rPr>
        <w:t xml:space="preserve"> ?</w:t>
      </w:r>
    </w:p>
    <w:p w14:paraId="6D3B354A" w14:textId="3BA146FE" w:rsidR="00662A1E" w:rsidRPr="005C1E6A" w:rsidRDefault="00711885" w:rsidP="00711885">
      <w:pPr>
        <w:jc w:val="both"/>
      </w:pPr>
      <w:r>
        <w:rPr>
          <w:color w:val="000000"/>
        </w:rPr>
        <w:t xml:space="preserve">Le </w:t>
      </w:r>
      <w:r w:rsidR="00531FCA">
        <w:rPr>
          <w:color w:val="000000"/>
        </w:rPr>
        <w:t>rapport social unique (RSU)</w:t>
      </w:r>
      <w:r w:rsidRPr="004040B4">
        <w:rPr>
          <w:color w:val="000000"/>
        </w:rPr>
        <w:t xml:space="preserve"> permet à votre collectivité de </w:t>
      </w:r>
      <w:r w:rsidR="0054432E" w:rsidRPr="005C1E6A">
        <w:t>visualiser</w:t>
      </w:r>
      <w:r w:rsidRPr="005C1E6A">
        <w:t xml:space="preserve"> </w:t>
      </w:r>
      <w:r w:rsidR="00983E6F">
        <w:t>ses</w:t>
      </w:r>
      <w:r w:rsidRPr="005C1E6A">
        <w:t xml:space="preserve"> effectifs</w:t>
      </w:r>
      <w:r w:rsidR="0054432E" w:rsidRPr="005C1E6A">
        <w:t xml:space="preserve"> au 31 décembre de chaque année</w:t>
      </w:r>
      <w:r w:rsidRPr="005C1E6A">
        <w:t>, en assemblant dans un même document des données</w:t>
      </w:r>
      <w:r w:rsidR="0054432E" w:rsidRPr="005C1E6A">
        <w:t xml:space="preserve"> sociales</w:t>
      </w:r>
      <w:r w:rsidRPr="005C1E6A">
        <w:t xml:space="preserve"> souvent éparses en interne</w:t>
      </w:r>
      <w:r w:rsidR="0054432E" w:rsidRPr="005C1E6A">
        <w:t xml:space="preserve"> et entre différents services</w:t>
      </w:r>
      <w:r w:rsidRPr="005C1E6A">
        <w:t xml:space="preserve">. Il est un outil </w:t>
      </w:r>
      <w:r w:rsidR="0054432E" w:rsidRPr="005C1E6A">
        <w:t>statistique alimentant l</w:t>
      </w:r>
      <w:r w:rsidRPr="005C1E6A">
        <w:t xml:space="preserve">e dialogue social puisqu’il est soumis pour avis au comité technique. </w:t>
      </w:r>
    </w:p>
    <w:p w14:paraId="07A7BA79" w14:textId="77777777" w:rsidR="00662A1E" w:rsidRDefault="00662A1E" w:rsidP="00711885">
      <w:pPr>
        <w:jc w:val="both"/>
        <w:rPr>
          <w:color w:val="000000"/>
        </w:rPr>
      </w:pPr>
    </w:p>
    <w:p w14:paraId="72C7D68E" w14:textId="137842CF" w:rsidR="00711885" w:rsidRDefault="00711885" w:rsidP="00711885">
      <w:pPr>
        <w:jc w:val="both"/>
        <w:rPr>
          <w:color w:val="000000"/>
        </w:rPr>
      </w:pPr>
      <w:r w:rsidRPr="004040B4">
        <w:rPr>
          <w:color w:val="000000"/>
        </w:rPr>
        <w:t xml:space="preserve">Le </w:t>
      </w:r>
      <w:r w:rsidR="00531FCA">
        <w:rPr>
          <w:color w:val="000000"/>
        </w:rPr>
        <w:t xml:space="preserve">rapport social unique </w:t>
      </w:r>
      <w:r w:rsidRPr="004040B4">
        <w:rPr>
          <w:color w:val="000000"/>
        </w:rPr>
        <w:t>sert également à améliorer la connaissance de la fonction publique territoriale</w:t>
      </w:r>
      <w:r>
        <w:rPr>
          <w:color w:val="000000"/>
        </w:rPr>
        <w:t xml:space="preserve"> </w:t>
      </w:r>
      <w:r w:rsidRPr="00315423">
        <w:rPr>
          <w:color w:val="000000"/>
        </w:rPr>
        <w:t>de différents acteurs (</w:t>
      </w:r>
      <w:r>
        <w:rPr>
          <w:color w:val="000000"/>
        </w:rPr>
        <w:t>centre de gestion</w:t>
      </w:r>
      <w:r w:rsidRPr="00315423">
        <w:rPr>
          <w:color w:val="000000"/>
        </w:rPr>
        <w:t xml:space="preserve">, </w:t>
      </w:r>
      <w:r w:rsidRPr="00871369">
        <w:rPr>
          <w:rFonts w:cs="Arial"/>
          <w:szCs w:val="24"/>
        </w:rPr>
        <w:t>direction générale de</w:t>
      </w:r>
      <w:r>
        <w:rPr>
          <w:rFonts w:cs="Arial"/>
          <w:szCs w:val="24"/>
        </w:rPr>
        <w:t>s collectivités locales (DGCL)</w:t>
      </w:r>
      <w:r w:rsidRPr="00315423">
        <w:rPr>
          <w:color w:val="000000"/>
        </w:rPr>
        <w:t>, etc.)</w:t>
      </w:r>
      <w:r w:rsidRPr="004040B4">
        <w:rPr>
          <w:color w:val="000000"/>
        </w:rPr>
        <w:t xml:space="preserve">. L’exploitation </w:t>
      </w:r>
      <w:r>
        <w:rPr>
          <w:color w:val="000000"/>
        </w:rPr>
        <w:t xml:space="preserve">statistique du </w:t>
      </w:r>
      <w:r w:rsidR="00531FCA">
        <w:rPr>
          <w:color w:val="000000"/>
        </w:rPr>
        <w:t xml:space="preserve">rapport social unique </w:t>
      </w:r>
      <w:r w:rsidRPr="004040B4">
        <w:rPr>
          <w:color w:val="000000"/>
        </w:rPr>
        <w:t xml:space="preserve">vous fournira une intéressante base </w:t>
      </w:r>
      <w:r>
        <w:rPr>
          <w:color w:val="000000"/>
        </w:rPr>
        <w:t>d’information indispensable pour alimenter vos réflexions sur la gestion et l’anticipation de l’évolution de vos effectifs.</w:t>
      </w:r>
    </w:p>
    <w:p w14:paraId="777EFA9F" w14:textId="77777777" w:rsidR="00303CB5" w:rsidRPr="00711885" w:rsidRDefault="00303CB5" w:rsidP="0066164D">
      <w:pPr>
        <w:jc w:val="both"/>
      </w:pPr>
    </w:p>
    <w:p w14:paraId="5D619B79" w14:textId="11672F2E" w:rsidR="00711885" w:rsidRPr="009A1846" w:rsidRDefault="00711885" w:rsidP="00711885">
      <w:pPr>
        <w:jc w:val="both"/>
        <w:rPr>
          <w:b/>
          <w:color w:val="00B0F0"/>
        </w:rPr>
      </w:pPr>
      <w:r w:rsidRPr="009A1846">
        <w:rPr>
          <w:b/>
          <w:color w:val="00B0F0"/>
        </w:rPr>
        <w:t xml:space="preserve">A qui dois-je communiquer le </w:t>
      </w:r>
      <w:r w:rsidR="00531FCA">
        <w:rPr>
          <w:b/>
          <w:color w:val="00B0F0"/>
        </w:rPr>
        <w:t>rapport social unique</w:t>
      </w:r>
      <w:r w:rsidR="00531FCA" w:rsidRPr="00F5262D">
        <w:rPr>
          <w:b/>
          <w:color w:val="00B0F0"/>
        </w:rPr>
        <w:t xml:space="preserve"> </w:t>
      </w:r>
      <w:r w:rsidRPr="009A1846">
        <w:rPr>
          <w:b/>
          <w:color w:val="00B0F0"/>
        </w:rPr>
        <w:t>de ma collectivité ?</w:t>
      </w:r>
    </w:p>
    <w:p w14:paraId="48451C44" w14:textId="4DCEF2F1" w:rsidR="00F87BC8" w:rsidRDefault="00F87BC8" w:rsidP="00711885">
      <w:pPr>
        <w:jc w:val="both"/>
      </w:pPr>
      <w:r w:rsidRPr="003542A7">
        <w:t>Selon le décret n°2020-1493 du 30 novembre 2020</w:t>
      </w:r>
      <w:r w:rsidR="00433261" w:rsidRPr="003542A7">
        <w:t>,</w:t>
      </w:r>
      <w:r w:rsidRPr="003542A7">
        <w:t xml:space="preserve"> « </w:t>
      </w:r>
      <w:r w:rsidR="00433261" w:rsidRPr="003542A7">
        <w:t>l</w:t>
      </w:r>
      <w:r w:rsidRPr="003542A7">
        <w:t>es collectivités territoriales et leurs établissements publics affiliés à un centre de gestion adressent les données dont ils disposent au centre dont ils relèvent au moyen du portail numérique mis à leur disposition par celui-ci. Ce portail est également accessible aux collectivités territoriales et à leurs établissements non affiliés à un centre de gestion ».</w:t>
      </w:r>
    </w:p>
    <w:p w14:paraId="1E5A3A5E" w14:textId="77777777" w:rsidR="00F87BC8" w:rsidRDefault="00F87BC8" w:rsidP="00711885">
      <w:pPr>
        <w:jc w:val="both"/>
      </w:pPr>
    </w:p>
    <w:p w14:paraId="27951ABA" w14:textId="77777777" w:rsidR="00711885" w:rsidRPr="009A1846" w:rsidRDefault="00711885" w:rsidP="00711885">
      <w:pPr>
        <w:jc w:val="both"/>
        <w:rPr>
          <w:b/>
          <w:color w:val="00B0F0"/>
        </w:rPr>
      </w:pPr>
      <w:r w:rsidRPr="009A1846">
        <w:rPr>
          <w:b/>
          <w:color w:val="00B0F0"/>
        </w:rPr>
        <w:t>Comment les données recueillies sont-elles exploitées ?</w:t>
      </w:r>
    </w:p>
    <w:p w14:paraId="1E2F1289" w14:textId="48A95B12" w:rsidR="00711885" w:rsidRPr="0054432E" w:rsidRDefault="00711885" w:rsidP="00711885">
      <w:pPr>
        <w:jc w:val="both"/>
        <w:rPr>
          <w:color w:val="92D050"/>
        </w:rPr>
      </w:pPr>
      <w:r w:rsidRPr="00871369">
        <w:t>Les données recuei</w:t>
      </w:r>
      <w:r>
        <w:t xml:space="preserve">llies seront exploitées à différentes échelles : par le centre de gestion d’une part, en vue d’une présentation au comité technique ; par la DGCL d’autre part, pour une agrégation nationale, mais également par les observatoires régionaux et/ou les centres de gestion pour permettre des comparaisons et des travaux sur des thématiques spécifiques à l’échelle d’un territoire. </w:t>
      </w:r>
      <w:r w:rsidRPr="00871369">
        <w:t>Les règles du secret statistique s’appliquent à ces exploitati</w:t>
      </w:r>
      <w:r>
        <w:t xml:space="preserve">ons, ainsi, aucune collectivité </w:t>
      </w:r>
      <w:r w:rsidRPr="00871369">
        <w:t xml:space="preserve">ou aucun agent ne pourra être identifié dans les exploitations consolidées. </w:t>
      </w:r>
    </w:p>
    <w:p w14:paraId="0EE6D7C2" w14:textId="77777777" w:rsidR="00711885" w:rsidRPr="00711885" w:rsidRDefault="00711885" w:rsidP="0066164D">
      <w:pPr>
        <w:jc w:val="both"/>
      </w:pPr>
    </w:p>
    <w:p w14:paraId="48EFD39D" w14:textId="62C51CBE" w:rsidR="00BF7D67" w:rsidRPr="00F5262D" w:rsidRDefault="001E6B2C" w:rsidP="00BF7D67">
      <w:pPr>
        <w:jc w:val="both"/>
        <w:rPr>
          <w:b/>
          <w:color w:val="00B0F0"/>
        </w:rPr>
      </w:pPr>
      <w:r>
        <w:rPr>
          <w:b/>
          <w:color w:val="00B0F0"/>
        </w:rPr>
        <w:t>Rapport</w:t>
      </w:r>
      <w:r w:rsidR="005A6CF4">
        <w:rPr>
          <w:b/>
          <w:color w:val="00B0F0"/>
        </w:rPr>
        <w:t xml:space="preserve"> social unique</w:t>
      </w:r>
      <w:r w:rsidR="00007DD7">
        <w:rPr>
          <w:b/>
          <w:color w:val="00B0F0"/>
        </w:rPr>
        <w:t xml:space="preserve">, </w:t>
      </w:r>
      <w:r w:rsidR="00241F19">
        <w:rPr>
          <w:b/>
          <w:color w:val="00B0F0"/>
        </w:rPr>
        <w:t>bilan social</w:t>
      </w:r>
      <w:r w:rsidR="00007DD7">
        <w:rPr>
          <w:b/>
          <w:color w:val="00B0F0"/>
        </w:rPr>
        <w:t>, de quoi parle-t-on</w:t>
      </w:r>
      <w:r w:rsidR="00BF7D67" w:rsidRPr="00F5262D">
        <w:rPr>
          <w:b/>
          <w:color w:val="00B0F0"/>
        </w:rPr>
        <w:t xml:space="preserve"> ?</w:t>
      </w:r>
    </w:p>
    <w:p w14:paraId="4AA51E7B" w14:textId="352D3F2A" w:rsidR="0054432E" w:rsidRDefault="0054432E" w:rsidP="00BF7D67">
      <w:pPr>
        <w:jc w:val="both"/>
        <w:rPr>
          <w:color w:val="000000"/>
        </w:rPr>
      </w:pPr>
      <w:r w:rsidRPr="005C1E6A">
        <w:t>S</w:t>
      </w:r>
      <w:r w:rsidR="00BF7D67" w:rsidRPr="005C1E6A">
        <w:t xml:space="preserve">eul </w:t>
      </w:r>
      <w:r w:rsidRPr="005C1E6A">
        <w:t>l</w:t>
      </w:r>
      <w:r w:rsidR="00BF7D67" w:rsidRPr="005C1E6A">
        <w:t xml:space="preserve">e </w:t>
      </w:r>
      <w:r w:rsidRPr="005C1E6A">
        <w:t>rapport social unique</w:t>
      </w:r>
      <w:r w:rsidR="00BF7D67" w:rsidRPr="005C1E6A">
        <w:t xml:space="preserve"> r</w:t>
      </w:r>
      <w:r w:rsidRPr="005C1E6A">
        <w:t>é</w:t>
      </w:r>
      <w:r w:rsidR="00BF7D67" w:rsidRPr="005C1E6A">
        <w:t>pond à l’obligation légale. Il se présente</w:t>
      </w:r>
      <w:r w:rsidRPr="005C1E6A">
        <w:t xml:space="preserve"> essentiellement</w:t>
      </w:r>
      <w:r w:rsidR="00BF7D67" w:rsidRPr="005C1E6A">
        <w:t xml:space="preserve"> sous la forme de tableaux au format déterminé par la Direction Générale des Collectivités Locales</w:t>
      </w:r>
      <w:r w:rsidR="00667018" w:rsidRPr="005C1E6A">
        <w:t xml:space="preserve"> (DGCL)</w:t>
      </w:r>
      <w:r w:rsidRPr="005C1E6A">
        <w:t xml:space="preserve"> et de question</w:t>
      </w:r>
      <w:r w:rsidR="00983E6F">
        <w:t>s</w:t>
      </w:r>
      <w:r w:rsidRPr="005C1E6A">
        <w:t xml:space="preserve"> « oui/non »</w:t>
      </w:r>
      <w:r w:rsidR="00386E14" w:rsidRPr="005C1E6A">
        <w:t>.</w:t>
      </w:r>
      <w:r w:rsidRPr="005C1E6A">
        <w:t xml:space="preserve"> </w:t>
      </w:r>
      <w:r w:rsidR="00BF7D67" w:rsidRPr="0012292F">
        <w:t xml:space="preserve">Le </w:t>
      </w:r>
      <w:r w:rsidR="00241F19">
        <w:t>bilan social</w:t>
      </w:r>
      <w:r w:rsidR="00BF7D67" w:rsidRPr="0012292F">
        <w:t xml:space="preserve">, quant à lui, au format déterminé par la collectivité, correspond à la synthèse et à </w:t>
      </w:r>
      <w:r w:rsidR="00BF7D67" w:rsidRPr="0012292F">
        <w:rPr>
          <w:color w:val="000000"/>
        </w:rPr>
        <w:t>l’analyse des données renseignées</w:t>
      </w:r>
      <w:r w:rsidR="001E6B2C">
        <w:rPr>
          <w:color w:val="000000"/>
        </w:rPr>
        <w:t xml:space="preserve"> par les collectivités dans le</w:t>
      </w:r>
      <w:r w:rsidR="00C77649" w:rsidRPr="00C77649">
        <w:rPr>
          <w:color w:val="000000"/>
        </w:rPr>
        <w:t xml:space="preserve"> </w:t>
      </w:r>
      <w:r w:rsidR="00C77649">
        <w:rPr>
          <w:color w:val="000000"/>
        </w:rPr>
        <w:t>rapport social unique</w:t>
      </w:r>
      <w:r w:rsidR="00BF7D67" w:rsidRPr="0012292F">
        <w:rPr>
          <w:color w:val="000000"/>
        </w:rPr>
        <w:t xml:space="preserve">. </w:t>
      </w:r>
    </w:p>
    <w:p w14:paraId="7ED05E29" w14:textId="77777777" w:rsidR="0054432E" w:rsidRDefault="0054432E" w:rsidP="00BF7D67">
      <w:pPr>
        <w:jc w:val="both"/>
        <w:rPr>
          <w:color w:val="000000"/>
        </w:rPr>
      </w:pPr>
    </w:p>
    <w:p w14:paraId="2056AFEB" w14:textId="6886A10D" w:rsidR="00BF7D67" w:rsidRDefault="00BF7D67" w:rsidP="00BF7D67">
      <w:pPr>
        <w:jc w:val="both"/>
        <w:rPr>
          <w:color w:val="000000"/>
        </w:rPr>
      </w:pPr>
      <w:r w:rsidRPr="0012292F">
        <w:rPr>
          <w:color w:val="000000"/>
        </w:rPr>
        <w:t xml:space="preserve">Il met en évidence des éléments essentiels pour la gestion du personnel de la collectivité. </w:t>
      </w:r>
      <w:r w:rsidR="0054432E">
        <w:rPr>
          <w:color w:val="000000"/>
        </w:rPr>
        <w:t xml:space="preserve">C’est un </w:t>
      </w:r>
      <w:r w:rsidRPr="0012292F">
        <w:rPr>
          <w:color w:val="000000"/>
        </w:rPr>
        <w:t xml:space="preserve">outil d’aide à la décision et au pilotage des ressources humaines. Il permet à la collectivité de disposer d‘indicateurs réguliers permettant de mesurer des évolutions dans le temps, de se situer par comparaison à des </w:t>
      </w:r>
      <w:r w:rsidRPr="0012292F">
        <w:t xml:space="preserve">collectivités de taille similaire </w:t>
      </w:r>
      <w:r w:rsidRPr="0012292F">
        <w:rPr>
          <w:color w:val="000000"/>
        </w:rPr>
        <w:t>et d’évaluer les effets des politiques de gestion des ressources humaines mises en œuvre par la collectivité.</w:t>
      </w:r>
    </w:p>
    <w:p w14:paraId="0FDD5D92" w14:textId="77777777" w:rsidR="0054432E" w:rsidRPr="0012292F" w:rsidRDefault="0054432E" w:rsidP="00BF7D67">
      <w:pPr>
        <w:jc w:val="both"/>
        <w:rPr>
          <w:color w:val="000000"/>
        </w:rPr>
      </w:pPr>
    </w:p>
    <w:p w14:paraId="38A77C46" w14:textId="5EE5E8C9" w:rsidR="00BF7D67" w:rsidRPr="0012292F" w:rsidRDefault="001E6B2C" w:rsidP="00BF7D67">
      <w:pPr>
        <w:jc w:val="both"/>
        <w:rPr>
          <w:color w:val="000000"/>
        </w:rPr>
      </w:pPr>
      <w:r>
        <w:rPr>
          <w:color w:val="000000"/>
        </w:rPr>
        <w:t>Contrairement au</w:t>
      </w:r>
      <w:r w:rsidR="00C77649" w:rsidRPr="00C77649">
        <w:rPr>
          <w:color w:val="000000"/>
        </w:rPr>
        <w:t xml:space="preserve"> </w:t>
      </w:r>
      <w:r w:rsidR="00C77649">
        <w:rPr>
          <w:color w:val="000000"/>
        </w:rPr>
        <w:t>rapport social unique</w:t>
      </w:r>
      <w:r w:rsidR="00B57A95" w:rsidRPr="0012292F">
        <w:rPr>
          <w:color w:val="000000"/>
        </w:rPr>
        <w:t xml:space="preserve">, le </w:t>
      </w:r>
      <w:r w:rsidR="00241F19">
        <w:rPr>
          <w:color w:val="000000"/>
        </w:rPr>
        <w:t>bilan social</w:t>
      </w:r>
      <w:r w:rsidR="00BF7D67" w:rsidRPr="0012292F">
        <w:rPr>
          <w:color w:val="000000"/>
        </w:rPr>
        <w:t xml:space="preserve"> n’est pas formalisé au niveau national, chaque collectivité peut donc choisir les indicateurs qu’elle présentera, ajouter d’autres indicateurs que ceux demandés dans le</w:t>
      </w:r>
      <w:r w:rsidR="00C77649" w:rsidRPr="00C77649">
        <w:rPr>
          <w:color w:val="000000"/>
        </w:rPr>
        <w:t xml:space="preserve"> </w:t>
      </w:r>
      <w:r w:rsidR="00C77649">
        <w:rPr>
          <w:color w:val="000000"/>
        </w:rPr>
        <w:t>rapport social unique</w:t>
      </w:r>
      <w:r w:rsidR="00BF7D67" w:rsidRPr="0012292F">
        <w:rPr>
          <w:color w:val="000000"/>
        </w:rPr>
        <w:t xml:space="preserve">. Dans le cadre de la gestion du dialogue social interne, il est recommandé de valider avec les membres du </w:t>
      </w:r>
      <w:r w:rsidR="00B57A95" w:rsidRPr="0012292F">
        <w:rPr>
          <w:color w:val="000000"/>
        </w:rPr>
        <w:t xml:space="preserve">comité technique le sommaire du </w:t>
      </w:r>
      <w:r w:rsidR="00241F19">
        <w:rPr>
          <w:color w:val="000000"/>
        </w:rPr>
        <w:t>bilan social</w:t>
      </w:r>
      <w:r w:rsidR="00701420" w:rsidRPr="0012292F">
        <w:rPr>
          <w:color w:val="000000"/>
        </w:rPr>
        <w:t xml:space="preserve"> avant sa présentation en séance</w:t>
      </w:r>
      <w:r w:rsidR="00BF7D67" w:rsidRPr="0012292F">
        <w:rPr>
          <w:color w:val="000000"/>
        </w:rPr>
        <w:t>.</w:t>
      </w:r>
    </w:p>
    <w:p w14:paraId="4C03A253" w14:textId="77777777" w:rsidR="00B45B71" w:rsidRDefault="00B45B71" w:rsidP="00BF7D67">
      <w:pPr>
        <w:jc w:val="both"/>
        <w:rPr>
          <w:color w:val="000000"/>
        </w:rPr>
      </w:pPr>
    </w:p>
    <w:p w14:paraId="65DBC779" w14:textId="77777777" w:rsidR="00062A63" w:rsidRDefault="00062A63" w:rsidP="00BF7D67">
      <w:pPr>
        <w:jc w:val="both"/>
        <w:rPr>
          <w:color w:val="000000"/>
        </w:rPr>
      </w:pPr>
    </w:p>
    <w:p w14:paraId="0F5FE18D" w14:textId="126041FC" w:rsidR="005D075A" w:rsidRPr="00056892" w:rsidRDefault="00323284" w:rsidP="0066164D">
      <w:pPr>
        <w:jc w:val="both"/>
        <w:rPr>
          <w:b/>
          <w:color w:val="92D050"/>
        </w:rPr>
      </w:pPr>
      <w:r w:rsidRPr="00997735">
        <w:rPr>
          <w:b/>
          <w:color w:val="00B0F0"/>
        </w:rPr>
        <w:t>Le</w:t>
      </w:r>
      <w:r w:rsidR="00851AAD" w:rsidRPr="00997735">
        <w:rPr>
          <w:b/>
          <w:color w:val="00B0F0"/>
        </w:rPr>
        <w:t xml:space="preserve"> </w:t>
      </w:r>
      <w:r w:rsidR="00C6379F" w:rsidRPr="00997735">
        <w:rPr>
          <w:b/>
          <w:color w:val="00B0F0"/>
        </w:rPr>
        <w:t>rapport social unique (RSU)</w:t>
      </w:r>
      <w:r w:rsidR="00B715DA" w:rsidRPr="00997735">
        <w:rPr>
          <w:b/>
          <w:color w:val="00B0F0"/>
        </w:rPr>
        <w:t xml:space="preserve"> </w:t>
      </w:r>
      <w:r w:rsidRPr="00997735">
        <w:rPr>
          <w:b/>
          <w:color w:val="00B0F0"/>
        </w:rPr>
        <w:t xml:space="preserve">est-il obligatoire </w:t>
      </w:r>
      <w:r w:rsidR="001E6B2C" w:rsidRPr="00997735">
        <w:rPr>
          <w:b/>
          <w:color w:val="00B0F0"/>
        </w:rPr>
        <w:t>pour toutes les collectivités ?</w:t>
      </w:r>
    </w:p>
    <w:p w14:paraId="47595784" w14:textId="2C968B09" w:rsidR="00056892" w:rsidRPr="005C1E6A" w:rsidRDefault="005C1E6A" w:rsidP="00056892">
      <w:pPr>
        <w:jc w:val="both"/>
        <w:rPr>
          <w:rFonts w:cstheme="minorHAnsi"/>
          <w:szCs w:val="24"/>
        </w:rPr>
      </w:pPr>
      <w:r w:rsidRPr="005C1E6A">
        <w:rPr>
          <w:rFonts w:cstheme="minorHAnsi"/>
          <w:szCs w:val="24"/>
        </w:rPr>
        <w:t>Selon</w:t>
      </w:r>
      <w:r w:rsidR="00056892" w:rsidRPr="005C1E6A">
        <w:rPr>
          <w:rFonts w:cstheme="minorHAnsi"/>
          <w:szCs w:val="24"/>
        </w:rPr>
        <w:t xml:space="preserve"> l’</w:t>
      </w:r>
      <w:hyperlink r:id="rId11" w:history="1">
        <w:r w:rsidR="00056892" w:rsidRPr="005C1E6A">
          <w:rPr>
            <w:rFonts w:cstheme="minorHAnsi"/>
            <w:szCs w:val="24"/>
          </w:rPr>
          <w:t>article</w:t>
        </w:r>
      </w:hyperlink>
      <w:r w:rsidR="00056892" w:rsidRPr="005C1E6A">
        <w:rPr>
          <w:rFonts w:cstheme="minorHAnsi"/>
          <w:szCs w:val="24"/>
        </w:rPr>
        <w:t xml:space="preserve"> L231-1 du </w:t>
      </w:r>
      <w:r w:rsidR="00410303">
        <w:rPr>
          <w:rFonts w:cstheme="minorHAnsi"/>
          <w:szCs w:val="24"/>
        </w:rPr>
        <w:t>c</w:t>
      </w:r>
      <w:r w:rsidR="00056892" w:rsidRPr="005C1E6A">
        <w:rPr>
          <w:rFonts w:cstheme="minorHAnsi"/>
          <w:szCs w:val="24"/>
        </w:rPr>
        <w:t>ode général de la fonction publique</w:t>
      </w:r>
      <w:r w:rsidR="00410303">
        <w:rPr>
          <w:rFonts w:cstheme="minorHAnsi"/>
          <w:szCs w:val="24"/>
        </w:rPr>
        <w:t xml:space="preserve"> (CGFP)</w:t>
      </w:r>
      <w:r w:rsidR="00056892" w:rsidRPr="005C1E6A">
        <w:rPr>
          <w:rFonts w:cstheme="minorHAnsi"/>
          <w:szCs w:val="24"/>
        </w:rPr>
        <w:t>, le rapport social unique constitue une obligation légale</w:t>
      </w:r>
      <w:r w:rsidR="00983E6F">
        <w:rPr>
          <w:rFonts w:cstheme="minorHAnsi"/>
          <w:szCs w:val="24"/>
        </w:rPr>
        <w:t xml:space="preserve"> </w:t>
      </w:r>
      <w:r w:rsidR="00983E6F" w:rsidRPr="00983E6F">
        <w:rPr>
          <w:rFonts w:cstheme="minorHAnsi"/>
          <w:szCs w:val="24"/>
        </w:rPr>
        <w:t>pour les collectivités territoriales et leurs établissements publics</w:t>
      </w:r>
      <w:r w:rsidR="00056892" w:rsidRPr="005C1E6A">
        <w:rPr>
          <w:rFonts w:cstheme="minorHAnsi"/>
          <w:szCs w:val="24"/>
        </w:rPr>
        <w:t> :</w:t>
      </w:r>
    </w:p>
    <w:p w14:paraId="65907DC8" w14:textId="06155F52" w:rsidR="00056892" w:rsidRPr="005C1E6A" w:rsidRDefault="00056892" w:rsidP="00056892">
      <w:pPr>
        <w:pStyle w:val="NormalWeb"/>
        <w:shd w:val="clear" w:color="auto" w:fill="FFFFFF"/>
        <w:spacing w:before="0" w:after="240"/>
        <w:jc w:val="both"/>
        <w:rPr>
          <w:rFonts w:cstheme="minorHAnsi"/>
          <w:szCs w:val="24"/>
        </w:rPr>
      </w:pPr>
      <w:r w:rsidRPr="005C1E6A">
        <w:rPr>
          <w:rFonts w:cstheme="minorHAnsi"/>
          <w:szCs w:val="24"/>
        </w:rPr>
        <w:t>« Les administrations mentionnées à l'article L. 2 élaborent chaque année un rapport social unique rassemblant les éléments et données à partir desquels sont établies les lignes directrices de gestion prévues au chapitre III du titre Ier du livre IV, déterminant la stratégie pluriannuelle de pilotage des ressources humaines dans chaque administration, collectivité territoriale et établissement public. »</w:t>
      </w:r>
    </w:p>
    <w:p w14:paraId="79D70F07" w14:textId="7DD8A6E3" w:rsidR="00056892" w:rsidRPr="00997735" w:rsidRDefault="005C1E6A" w:rsidP="00056892">
      <w:pPr>
        <w:pStyle w:val="NormalWeb"/>
        <w:shd w:val="clear" w:color="auto" w:fill="FFFFFF"/>
        <w:spacing w:before="0" w:after="240"/>
        <w:jc w:val="both"/>
      </w:pPr>
      <w:r w:rsidRPr="005C1E6A">
        <w:rPr>
          <w:rFonts w:cstheme="minorHAnsi"/>
          <w:szCs w:val="24"/>
        </w:rPr>
        <w:t>L’article L231-2 précise que l</w:t>
      </w:r>
      <w:r w:rsidR="00056892" w:rsidRPr="005C1E6A">
        <w:rPr>
          <w:rFonts w:cstheme="minorHAnsi"/>
          <w:szCs w:val="24"/>
        </w:rPr>
        <w:t>e rapport social unique présente l'état de la situation comparée des femmes et des hommes. Le rapport social unique est présenté aux comités sociaux et sert de support à un débat relatif à l'évolution de</w:t>
      </w:r>
      <w:r w:rsidR="00056892" w:rsidRPr="00997735">
        <w:t xml:space="preserve">s politiques des ressources humaines et est rendu public. </w:t>
      </w:r>
    </w:p>
    <w:p w14:paraId="261932CA" w14:textId="266091BE" w:rsidR="00056892" w:rsidRDefault="00056892" w:rsidP="00AD759B">
      <w:pPr>
        <w:pStyle w:val="NormalWeb"/>
        <w:shd w:val="clear" w:color="auto" w:fill="FFFFFF"/>
        <w:spacing w:before="0" w:after="0"/>
        <w:contextualSpacing/>
        <w:jc w:val="both"/>
      </w:pPr>
      <w:r w:rsidRPr="004D13FC">
        <w:rPr>
          <w:b/>
          <w:color w:val="00B0F0"/>
        </w:rPr>
        <w:t xml:space="preserve">Le rapport social unique (RSU) </w:t>
      </w:r>
      <w:r>
        <w:rPr>
          <w:b/>
          <w:color w:val="00B0F0"/>
        </w:rPr>
        <w:t>doit-il être délibér</w:t>
      </w:r>
      <w:r w:rsidR="003D1F27">
        <w:rPr>
          <w:b/>
          <w:color w:val="00B0F0"/>
        </w:rPr>
        <w:t>é</w:t>
      </w:r>
      <w:r>
        <w:rPr>
          <w:b/>
          <w:color w:val="00B0F0"/>
        </w:rPr>
        <w:t xml:space="preserve"> par </w:t>
      </w:r>
      <w:r w:rsidRPr="00056892">
        <w:rPr>
          <w:b/>
          <w:color w:val="00B0F0"/>
        </w:rPr>
        <w:t>l'assemblée délibérante</w:t>
      </w:r>
      <w:r w:rsidRPr="004D13FC">
        <w:rPr>
          <w:b/>
          <w:color w:val="00B0F0"/>
        </w:rPr>
        <w:t xml:space="preserve"> ?</w:t>
      </w:r>
    </w:p>
    <w:p w14:paraId="7CF69279" w14:textId="48369AC1" w:rsidR="00056892" w:rsidRDefault="00056892" w:rsidP="00AD759B">
      <w:pPr>
        <w:pStyle w:val="NormalWeb"/>
        <w:shd w:val="clear" w:color="auto" w:fill="FFFFFF"/>
        <w:spacing w:before="0" w:after="0"/>
        <w:contextualSpacing/>
        <w:jc w:val="both"/>
      </w:pPr>
      <w:r>
        <w:t>Non, l</w:t>
      </w:r>
      <w:r w:rsidRPr="00056892">
        <w:t xml:space="preserve">e rapport social unique est </w:t>
      </w:r>
      <w:r>
        <w:t xml:space="preserve">uniquement </w:t>
      </w:r>
      <w:r w:rsidRPr="00056892">
        <w:t>présenté à l'assemblée délibérante des collectivités territoriales et des établissements publics</w:t>
      </w:r>
      <w:r w:rsidR="00410303">
        <w:t xml:space="preserve"> (article L231-4 du CGFP)</w:t>
      </w:r>
      <w:r w:rsidRPr="00056892">
        <w:t>, après avis du comité social territorial.</w:t>
      </w:r>
      <w:r>
        <w:t xml:space="preserve"> </w:t>
      </w:r>
      <w:r>
        <w:br/>
      </w:r>
      <w:r w:rsidRPr="00056892">
        <w:t>Il indique les moyens budgétaires et en personnel dont dispose la collectivité, l'établissement ou le service concerné.</w:t>
      </w:r>
      <w:r>
        <w:t xml:space="preserve"> Une délibération n’est donc pas nécessaire. </w:t>
      </w:r>
    </w:p>
    <w:p w14:paraId="71DBB58D" w14:textId="77777777" w:rsidR="00AD759B" w:rsidRPr="00056892" w:rsidRDefault="00AD759B" w:rsidP="00AD759B">
      <w:pPr>
        <w:pStyle w:val="NormalWeb"/>
        <w:shd w:val="clear" w:color="auto" w:fill="FFFFFF"/>
        <w:spacing w:before="0" w:after="0"/>
        <w:contextualSpacing/>
        <w:jc w:val="both"/>
      </w:pPr>
    </w:p>
    <w:p w14:paraId="7F7D9EEE" w14:textId="6D05916A" w:rsidR="000A4B89" w:rsidRPr="00F5262D" w:rsidRDefault="000A4B89" w:rsidP="000A4B89">
      <w:pPr>
        <w:jc w:val="both"/>
        <w:rPr>
          <w:b/>
          <w:color w:val="00B0F0"/>
        </w:rPr>
      </w:pPr>
      <w:r w:rsidRPr="00F5262D">
        <w:rPr>
          <w:b/>
          <w:color w:val="00B0F0"/>
        </w:rPr>
        <w:t xml:space="preserve">Que risque ma collectivité si elle n'élabore pas son </w:t>
      </w:r>
      <w:r w:rsidR="00C77649" w:rsidRPr="004D13FC">
        <w:rPr>
          <w:b/>
          <w:color w:val="00B0F0"/>
        </w:rPr>
        <w:t>rapport social unique</w:t>
      </w:r>
      <w:r w:rsidR="00C77649">
        <w:rPr>
          <w:b/>
          <w:color w:val="00B0F0"/>
        </w:rPr>
        <w:t xml:space="preserve"> </w:t>
      </w:r>
      <w:r w:rsidR="00390790">
        <w:rPr>
          <w:b/>
          <w:color w:val="00B0F0"/>
        </w:rPr>
        <w:t>?</w:t>
      </w:r>
    </w:p>
    <w:p w14:paraId="11471B9C" w14:textId="4537C993" w:rsidR="000A4B89" w:rsidRDefault="000A4B89" w:rsidP="000A4B89">
      <w:pPr>
        <w:jc w:val="both"/>
      </w:pPr>
      <w:r w:rsidRPr="00871369">
        <w:t xml:space="preserve">Pour le moment, aucune sanction n’est prévue. Toutefois, des </w:t>
      </w:r>
      <w:r w:rsidR="00E83072">
        <w:t>observations</w:t>
      </w:r>
      <w:r w:rsidRPr="00871369">
        <w:t xml:space="preserve"> des préfectures sont possibles pour les collectivités se soustrayant systématiquement à cette obligation : le refus de réaliser le </w:t>
      </w:r>
      <w:r w:rsidR="00490C96" w:rsidRPr="00490C96">
        <w:t xml:space="preserve">rapport social unique </w:t>
      </w:r>
      <w:r w:rsidRPr="00871369">
        <w:t>pourrait être perçu comme une volonté de cacher la réalité de sa gestion des ressources humaines.</w:t>
      </w:r>
    </w:p>
    <w:p w14:paraId="3C2B3BB9" w14:textId="55522D3A" w:rsidR="00635115" w:rsidRDefault="00635115" w:rsidP="000A4B89">
      <w:pPr>
        <w:jc w:val="both"/>
        <w:rPr>
          <w:b/>
        </w:rPr>
      </w:pPr>
    </w:p>
    <w:p w14:paraId="4C9DF7FD" w14:textId="75066FC3" w:rsidR="00410303" w:rsidRPr="00983E6F" w:rsidRDefault="00F929B3" w:rsidP="000A4B89">
      <w:pPr>
        <w:jc w:val="both"/>
        <w:rPr>
          <w:b/>
          <w:color w:val="00B0F0"/>
        </w:rPr>
      </w:pPr>
      <w:r w:rsidRPr="00983E6F">
        <w:rPr>
          <w:b/>
          <w:color w:val="00B0F0"/>
        </w:rPr>
        <w:t>Le rapport de situation comparée (RSC) est-il toujours obligatoire ?</w:t>
      </w:r>
    </w:p>
    <w:p w14:paraId="12FA951D" w14:textId="046BFA9F" w:rsidR="00F929B3" w:rsidRPr="00983E6F" w:rsidRDefault="00F929B3" w:rsidP="000A4B89">
      <w:pPr>
        <w:jc w:val="both"/>
        <w:rPr>
          <w:bCs/>
        </w:rPr>
      </w:pPr>
      <w:r w:rsidRPr="00983E6F">
        <w:rPr>
          <w:bCs/>
        </w:rPr>
        <w:t>Oui, il est toujours obligatoire. Le RSC est désormais intégré au RSU (article 5 du décret du 30 novembre 2020).</w:t>
      </w:r>
    </w:p>
    <w:p w14:paraId="06814F01" w14:textId="00C9241F" w:rsidR="00C24A80" w:rsidRPr="00C24A80" w:rsidRDefault="00F929B3" w:rsidP="00C24A80">
      <w:pPr>
        <w:rPr>
          <w:bCs/>
        </w:rPr>
      </w:pPr>
      <w:r w:rsidRPr="00983E6F">
        <w:rPr>
          <w:bCs/>
        </w:rPr>
        <w:t xml:space="preserve">L’article L231-2 du CGFP précise bien que </w:t>
      </w:r>
      <w:r w:rsidR="00C24A80" w:rsidRPr="00983E6F">
        <w:rPr>
          <w:bCs/>
        </w:rPr>
        <w:t>« le rapport social unique présente l'état de la situation comparée des femmes et des hommes ».</w:t>
      </w:r>
    </w:p>
    <w:p w14:paraId="0835CBE9" w14:textId="29C07E3B" w:rsidR="00F929B3" w:rsidRPr="00F929B3" w:rsidRDefault="00F929B3" w:rsidP="000A4B89">
      <w:pPr>
        <w:jc w:val="both"/>
        <w:rPr>
          <w:b/>
          <w:color w:val="00B0F0"/>
        </w:rPr>
      </w:pPr>
    </w:p>
    <w:p w14:paraId="57B5DA72" w14:textId="2A1C3336" w:rsidR="00F929B3" w:rsidRDefault="00F929B3" w:rsidP="00F929B3">
      <w:pPr>
        <w:jc w:val="both"/>
        <w:rPr>
          <w:bCs/>
        </w:rPr>
      </w:pPr>
    </w:p>
    <w:p w14:paraId="23B07CCB" w14:textId="3C6FBCCC" w:rsidR="000A4B89" w:rsidRPr="00F5262D" w:rsidRDefault="000A4B89" w:rsidP="000A4B89">
      <w:pPr>
        <w:jc w:val="both"/>
        <w:rPr>
          <w:b/>
          <w:color w:val="00B0F0"/>
        </w:rPr>
      </w:pPr>
      <w:r w:rsidRPr="00F5262D">
        <w:rPr>
          <w:b/>
          <w:color w:val="00B0F0"/>
        </w:rPr>
        <w:t xml:space="preserve">Combien de </w:t>
      </w:r>
      <w:r w:rsidR="00BA1E3B" w:rsidRPr="004D13FC">
        <w:rPr>
          <w:b/>
          <w:color w:val="00B0F0"/>
        </w:rPr>
        <w:t>rapport</w:t>
      </w:r>
      <w:r w:rsidR="00983E6F">
        <w:rPr>
          <w:b/>
          <w:color w:val="00B0F0"/>
        </w:rPr>
        <w:t>s</w:t>
      </w:r>
      <w:r w:rsidR="00BA1E3B" w:rsidRPr="004D13FC">
        <w:rPr>
          <w:b/>
          <w:color w:val="00B0F0"/>
        </w:rPr>
        <w:t xml:space="preserve"> socia</w:t>
      </w:r>
      <w:r w:rsidR="00983E6F">
        <w:rPr>
          <w:b/>
          <w:color w:val="00B0F0"/>
        </w:rPr>
        <w:t>ux</w:t>
      </w:r>
      <w:r w:rsidR="00BA1E3B" w:rsidRPr="004D13FC">
        <w:rPr>
          <w:b/>
          <w:color w:val="00B0F0"/>
        </w:rPr>
        <w:t xml:space="preserve"> unique</w:t>
      </w:r>
      <w:r w:rsidR="00983E6F">
        <w:rPr>
          <w:b/>
          <w:color w:val="00B0F0"/>
        </w:rPr>
        <w:t>s</w:t>
      </w:r>
      <w:r w:rsidR="00BA1E3B" w:rsidRPr="004D13FC">
        <w:rPr>
          <w:b/>
          <w:color w:val="00B0F0"/>
        </w:rPr>
        <w:t xml:space="preserve"> </w:t>
      </w:r>
      <w:r w:rsidRPr="00F5262D">
        <w:rPr>
          <w:b/>
          <w:color w:val="00B0F0"/>
        </w:rPr>
        <w:t>dois-je remplir ?</w:t>
      </w:r>
    </w:p>
    <w:p w14:paraId="44B03C15" w14:textId="6EF1C159" w:rsidR="00390790" w:rsidRDefault="00D461C9" w:rsidP="000A4B89">
      <w:pPr>
        <w:jc w:val="both"/>
      </w:pPr>
      <w:r w:rsidRPr="00D461C9">
        <w:t xml:space="preserve">Le principe est celui d’un </w:t>
      </w:r>
      <w:r w:rsidR="00023E41">
        <w:t>rapport social unique</w:t>
      </w:r>
      <w:r w:rsidRPr="00D461C9">
        <w:t xml:space="preserve"> par collectivité ou établissement.</w:t>
      </w:r>
      <w:r w:rsidR="00E83072" w:rsidRPr="00D461C9">
        <w:t xml:space="preserve"> </w:t>
      </w:r>
      <w:r w:rsidR="000A4B89" w:rsidRPr="00D461C9">
        <w:t>Ce</w:t>
      </w:r>
      <w:r w:rsidR="00DF3A07" w:rsidRPr="00D461C9">
        <w:t>tte logique permet de</w:t>
      </w:r>
      <w:r w:rsidR="000A4B89" w:rsidRPr="00D461C9">
        <w:t xml:space="preserve"> facilite</w:t>
      </w:r>
      <w:r w:rsidR="00DF3A07" w:rsidRPr="00D461C9">
        <w:t>r</w:t>
      </w:r>
      <w:r w:rsidR="000A4B89" w:rsidRPr="00D461C9">
        <w:t xml:space="preserve"> les analyses </w:t>
      </w:r>
      <w:r w:rsidR="00DF3A07" w:rsidRPr="00D461C9">
        <w:t>et</w:t>
      </w:r>
      <w:r w:rsidR="000A4B89" w:rsidRPr="00D461C9">
        <w:t xml:space="preserve"> de mieux connaître vos effectifs. </w:t>
      </w:r>
    </w:p>
    <w:p w14:paraId="37FDBE48" w14:textId="058616AC" w:rsidR="00DF3A07" w:rsidRDefault="00D43142" w:rsidP="000A4B89">
      <w:pPr>
        <w:jc w:val="both"/>
      </w:pPr>
      <w:r w:rsidRPr="00D461C9">
        <w:t>Dans le cas d’un établissement public, l</w:t>
      </w:r>
      <w:r w:rsidR="00672E54" w:rsidRPr="00D461C9">
        <w:t xml:space="preserve">a direction générale des collectivités locales (DGCL) préconise d’établir </w:t>
      </w:r>
      <w:r w:rsidR="00672E54" w:rsidRPr="00410303">
        <w:rPr>
          <w:b/>
        </w:rPr>
        <w:t>un</w:t>
      </w:r>
      <w:r w:rsidR="00023E41" w:rsidRPr="00410303">
        <w:rPr>
          <w:b/>
        </w:rPr>
        <w:t xml:space="preserve"> rapport social unique</w:t>
      </w:r>
      <w:r w:rsidRPr="00410303">
        <w:rPr>
          <w:b/>
        </w:rPr>
        <w:t xml:space="preserve"> </w:t>
      </w:r>
      <w:r w:rsidR="00672E54" w:rsidRPr="00410303">
        <w:rPr>
          <w:b/>
        </w:rPr>
        <w:t xml:space="preserve">par </w:t>
      </w:r>
      <w:r w:rsidRPr="00410303">
        <w:rPr>
          <w:b/>
        </w:rPr>
        <w:t>établissement principal</w:t>
      </w:r>
      <w:r w:rsidR="00672E54" w:rsidRPr="00410303">
        <w:rPr>
          <w:bCs/>
        </w:rPr>
        <w:t>, au sens de l’Insee</w:t>
      </w:r>
      <w:r w:rsidRPr="00410303">
        <w:rPr>
          <w:bCs/>
        </w:rPr>
        <w:t>.</w:t>
      </w:r>
      <w:r w:rsidRPr="00410303">
        <w:t xml:space="preserve"> </w:t>
      </w:r>
      <w:r w:rsidR="00DF3A07" w:rsidRPr="00D461C9">
        <w:t>Pour savoir si un établissement a la qualité d’établissement principal</w:t>
      </w:r>
      <w:r w:rsidR="00672E54" w:rsidRPr="00D461C9">
        <w:t xml:space="preserve"> au sens de l’Insee</w:t>
      </w:r>
      <w:r w:rsidR="00DF3A07" w:rsidRPr="00D461C9">
        <w:t>, il s’agit de se demander s’il correspond au lieu où sont centralisées l'administration et la direction effective</w:t>
      </w:r>
      <w:r w:rsidR="000C5C78" w:rsidRPr="00D461C9">
        <w:t>.</w:t>
      </w:r>
    </w:p>
    <w:p w14:paraId="1C79A308" w14:textId="522E6FBA" w:rsidR="00D862A2" w:rsidRPr="00871369" w:rsidRDefault="00DF3A07" w:rsidP="000A4B89">
      <w:pPr>
        <w:jc w:val="both"/>
      </w:pPr>
      <w:r>
        <w:t xml:space="preserve">Par exemple, </w:t>
      </w:r>
      <w:r w:rsidR="00D862A2">
        <w:t xml:space="preserve">un </w:t>
      </w:r>
      <w:r w:rsidR="00390790">
        <w:t>é</w:t>
      </w:r>
      <w:r w:rsidR="00390790">
        <w:rPr>
          <w:rStyle w:val="st"/>
        </w:rPr>
        <w:t>tablissement d'hébergement pour personnes âgées d</w:t>
      </w:r>
      <w:r w:rsidR="000C5C78">
        <w:rPr>
          <w:rStyle w:val="st"/>
        </w:rPr>
        <w:t>épendantes</w:t>
      </w:r>
      <w:r w:rsidR="000C5C78">
        <w:t xml:space="preserve"> (</w:t>
      </w:r>
      <w:r w:rsidR="00D862A2">
        <w:t>EHPAD</w:t>
      </w:r>
      <w:r w:rsidR="00390790">
        <w:t>) rattaché à un c</w:t>
      </w:r>
      <w:r w:rsidR="000C5C78">
        <w:t xml:space="preserve">entre </w:t>
      </w:r>
      <w:r w:rsidR="00390790">
        <w:t>c</w:t>
      </w:r>
      <w:r w:rsidR="000C5C78">
        <w:t>ommunal d’</w:t>
      </w:r>
      <w:r w:rsidR="00390790">
        <w:t>a</w:t>
      </w:r>
      <w:r w:rsidR="000C5C78">
        <w:t xml:space="preserve">ction </w:t>
      </w:r>
      <w:r w:rsidR="00390790">
        <w:t>s</w:t>
      </w:r>
      <w:r w:rsidR="000C5C78">
        <w:t>ociale (CCAS)</w:t>
      </w:r>
      <w:r>
        <w:t xml:space="preserve"> n’a pas la qualité d’établissement principal car </w:t>
      </w:r>
      <w:r w:rsidR="00FB4E61">
        <w:t>son administration et sa direction effective sont centralisées au niveau du CCAS</w:t>
      </w:r>
      <w:r>
        <w:t xml:space="preserve">. </w:t>
      </w:r>
      <w:r w:rsidR="00FB4E61">
        <w:t xml:space="preserve">Le </w:t>
      </w:r>
      <w:r w:rsidR="00E347AE" w:rsidRPr="00E347AE">
        <w:t xml:space="preserve">rapport social unique </w:t>
      </w:r>
      <w:r w:rsidR="00FB4E61">
        <w:t>de l’EHPAD est donc intégré</w:t>
      </w:r>
      <w:r w:rsidR="00D862A2">
        <w:t xml:space="preserve"> au </w:t>
      </w:r>
      <w:r w:rsidR="00E347AE" w:rsidRPr="00E347AE">
        <w:t xml:space="preserve">rapport social unique </w:t>
      </w:r>
      <w:r w:rsidR="00D862A2">
        <w:t>du CCAS</w:t>
      </w:r>
      <w:r w:rsidR="00FB4E61">
        <w:t xml:space="preserve"> : il ne faut remplir qu’un seul questionnaire </w:t>
      </w:r>
      <w:r w:rsidR="000C5C78">
        <w:t>intégrant</w:t>
      </w:r>
      <w:r w:rsidR="00FB4E61">
        <w:t xml:space="preserve"> les données des deux établissements.</w:t>
      </w:r>
    </w:p>
    <w:p w14:paraId="01701957" w14:textId="77777777" w:rsidR="000A4B89" w:rsidRPr="00871369" w:rsidRDefault="000A4B89" w:rsidP="000A4B89">
      <w:pPr>
        <w:jc w:val="both"/>
      </w:pPr>
    </w:p>
    <w:p w14:paraId="4488D142" w14:textId="77777777" w:rsidR="000A4B89" w:rsidRPr="00F5262D" w:rsidRDefault="000A4B89" w:rsidP="000A4B89">
      <w:pPr>
        <w:jc w:val="both"/>
        <w:rPr>
          <w:b/>
          <w:color w:val="00B0F0"/>
        </w:rPr>
      </w:pPr>
      <w:r w:rsidRPr="00F5262D">
        <w:rPr>
          <w:b/>
          <w:color w:val="00B0F0"/>
        </w:rPr>
        <w:t>Que faire si ma collectiv</w:t>
      </w:r>
      <w:r w:rsidR="00971883">
        <w:rPr>
          <w:b/>
          <w:color w:val="00B0F0"/>
        </w:rPr>
        <w:t>ité a fusionné durant l’année ?</w:t>
      </w:r>
    </w:p>
    <w:p w14:paraId="4FD0A2B9" w14:textId="046DA26D" w:rsidR="000A4B89" w:rsidRPr="00D444A2" w:rsidRDefault="000A4B89" w:rsidP="000A4B89">
      <w:pPr>
        <w:jc w:val="both"/>
      </w:pPr>
      <w:r w:rsidRPr="00D444A2">
        <w:t>Le</w:t>
      </w:r>
      <w:r w:rsidR="00E347AE" w:rsidRPr="00D444A2">
        <w:t xml:space="preserve"> rapport social unique</w:t>
      </w:r>
      <w:r w:rsidRPr="00D444A2">
        <w:t xml:space="preserve"> est une photographie de la collectivité au 31/12/20</w:t>
      </w:r>
      <w:r w:rsidR="00E347AE" w:rsidRPr="00D444A2">
        <w:t>2</w:t>
      </w:r>
      <w:r w:rsidR="00635115" w:rsidRPr="00D444A2">
        <w:t>1</w:t>
      </w:r>
      <w:r w:rsidRPr="00D444A2">
        <w:t>. Si une fusion a pris effet depuis le 1er janvier 20</w:t>
      </w:r>
      <w:r w:rsidR="006F389E" w:rsidRPr="00D444A2">
        <w:t>2</w:t>
      </w:r>
      <w:r w:rsidR="00635115" w:rsidRPr="00D444A2">
        <w:t>2</w:t>
      </w:r>
      <w:r w:rsidRPr="00D444A2">
        <w:t xml:space="preserve">, les fichiers relatifs à chaque </w:t>
      </w:r>
      <w:r w:rsidR="00E347AE" w:rsidRPr="00D444A2">
        <w:t>structure existante au 31/12/202</w:t>
      </w:r>
      <w:r w:rsidR="00635115" w:rsidRPr="00D444A2">
        <w:t>1</w:t>
      </w:r>
      <w:r w:rsidRPr="00D444A2">
        <w:t xml:space="preserve"> </w:t>
      </w:r>
      <w:r w:rsidRPr="00D444A2">
        <w:lastRenderedPageBreak/>
        <w:t>doivent être renseignés distinctement. Une fois</w:t>
      </w:r>
      <w:r w:rsidR="00971883" w:rsidRPr="00D444A2">
        <w:t xml:space="preserve"> les fichiers retournés, votre c</w:t>
      </w:r>
      <w:r w:rsidRPr="00D444A2">
        <w:t>entre de gestion sera en mesure de vous fournir un fichier consolidé vous permettant de disposer d’une approche compilant l’ensemble des données.</w:t>
      </w:r>
    </w:p>
    <w:p w14:paraId="11FF7F08" w14:textId="77777777" w:rsidR="000A4B89" w:rsidRDefault="000A4B89" w:rsidP="000A4B89">
      <w:pPr>
        <w:jc w:val="both"/>
      </w:pPr>
    </w:p>
    <w:p w14:paraId="04DA4D0F" w14:textId="77777777" w:rsidR="000A4B89" w:rsidRPr="00F5262D" w:rsidRDefault="000A4B89" w:rsidP="000A4B89">
      <w:pPr>
        <w:jc w:val="both"/>
        <w:rPr>
          <w:b/>
          <w:color w:val="00B0F0"/>
        </w:rPr>
      </w:pPr>
      <w:r w:rsidRPr="00F5262D">
        <w:rPr>
          <w:b/>
          <w:color w:val="00B0F0"/>
        </w:rPr>
        <w:t xml:space="preserve">Que faire si ma collectivité a été dissoute </w:t>
      </w:r>
      <w:r w:rsidR="00971883">
        <w:rPr>
          <w:b/>
          <w:color w:val="00B0F0"/>
        </w:rPr>
        <w:t xml:space="preserve">durant l’année </w:t>
      </w:r>
      <w:r w:rsidR="00672E54">
        <w:rPr>
          <w:b/>
          <w:color w:val="00B0F0"/>
        </w:rPr>
        <w:t xml:space="preserve">dans le cadre des processus de </w:t>
      </w:r>
      <w:r w:rsidR="00971883">
        <w:rPr>
          <w:b/>
          <w:color w:val="00B0F0"/>
        </w:rPr>
        <w:t>fusion</w:t>
      </w:r>
      <w:r w:rsidR="00672E54">
        <w:rPr>
          <w:b/>
          <w:color w:val="00B0F0"/>
        </w:rPr>
        <w:t xml:space="preserve"> </w:t>
      </w:r>
      <w:r w:rsidRPr="00F5262D">
        <w:rPr>
          <w:b/>
          <w:color w:val="00B0F0"/>
        </w:rPr>
        <w:t xml:space="preserve">? </w:t>
      </w:r>
    </w:p>
    <w:p w14:paraId="45CAED80" w14:textId="4CB79ACB" w:rsidR="000A4B89" w:rsidRPr="00D444A2" w:rsidRDefault="000A4B89" w:rsidP="000A4B89">
      <w:pPr>
        <w:jc w:val="both"/>
      </w:pPr>
      <w:r w:rsidRPr="00D444A2">
        <w:t xml:space="preserve">Le </w:t>
      </w:r>
      <w:r w:rsidR="000D14B8" w:rsidRPr="00D444A2">
        <w:t xml:space="preserve">rapport social unique </w:t>
      </w:r>
      <w:r w:rsidRPr="00D444A2">
        <w:t>est une photographie de la collectivité au 31/12/20</w:t>
      </w:r>
      <w:r w:rsidR="000D14B8" w:rsidRPr="00D444A2">
        <w:t>2</w:t>
      </w:r>
      <w:r w:rsidR="00635115" w:rsidRPr="00D444A2">
        <w:t>1</w:t>
      </w:r>
      <w:r w:rsidRPr="00D444A2">
        <w:t>. Si une collectivité a été dissoute durant l’année 20</w:t>
      </w:r>
      <w:r w:rsidR="000D14B8" w:rsidRPr="00D444A2">
        <w:t>2</w:t>
      </w:r>
      <w:r w:rsidR="00635115" w:rsidRPr="00D444A2">
        <w:t>1</w:t>
      </w:r>
      <w:r w:rsidRPr="00D444A2">
        <w:t xml:space="preserve">, le </w:t>
      </w:r>
      <w:r w:rsidR="008E76E9" w:rsidRPr="00D444A2">
        <w:t xml:space="preserve">rapport social unique </w:t>
      </w:r>
      <w:r w:rsidRPr="00D444A2">
        <w:t xml:space="preserve">n’a pas à être établi. </w:t>
      </w:r>
      <w:proofErr w:type="gramStart"/>
      <w:r w:rsidRPr="00D444A2">
        <w:t>Par contre</w:t>
      </w:r>
      <w:proofErr w:type="gramEnd"/>
      <w:r w:rsidRPr="00D444A2">
        <w:t>, si la dissolut</w:t>
      </w:r>
      <w:r w:rsidR="00971883" w:rsidRPr="00D444A2">
        <w:t>ion a pris effet au 1</w:t>
      </w:r>
      <w:r w:rsidR="00971883" w:rsidRPr="00D444A2">
        <w:rPr>
          <w:vertAlign w:val="superscript"/>
        </w:rPr>
        <w:t>er</w:t>
      </w:r>
      <w:r w:rsidR="00971883" w:rsidRPr="00D444A2">
        <w:t xml:space="preserve"> janvier </w:t>
      </w:r>
      <w:r w:rsidRPr="00D444A2">
        <w:t>20</w:t>
      </w:r>
      <w:r w:rsidR="00BA5493" w:rsidRPr="00D444A2">
        <w:t>2</w:t>
      </w:r>
      <w:r w:rsidR="00635115" w:rsidRPr="00D444A2">
        <w:t>2</w:t>
      </w:r>
      <w:r w:rsidRPr="00D444A2">
        <w:t xml:space="preserve">, le </w:t>
      </w:r>
      <w:r w:rsidR="000D14B8" w:rsidRPr="00D444A2">
        <w:t xml:space="preserve">rapport social unique </w:t>
      </w:r>
      <w:r w:rsidRPr="00D444A2">
        <w:t>au 31/12/20</w:t>
      </w:r>
      <w:r w:rsidR="000D14B8" w:rsidRPr="00D444A2">
        <w:t>2</w:t>
      </w:r>
      <w:r w:rsidR="00635115" w:rsidRPr="00D444A2">
        <w:t>1</w:t>
      </w:r>
      <w:r w:rsidRPr="00D444A2">
        <w:t xml:space="preserve"> est à établir.</w:t>
      </w:r>
    </w:p>
    <w:p w14:paraId="1506120E" w14:textId="77777777" w:rsidR="000A4B89" w:rsidRPr="00871369" w:rsidRDefault="000A4B89" w:rsidP="000A4B89">
      <w:pPr>
        <w:jc w:val="both"/>
        <w:rPr>
          <w:b/>
        </w:rPr>
      </w:pPr>
    </w:p>
    <w:p w14:paraId="24EF72A9" w14:textId="0565BDFA" w:rsidR="000A4B89" w:rsidRPr="009A1846" w:rsidRDefault="00672E54" w:rsidP="000A4B89">
      <w:pPr>
        <w:jc w:val="both"/>
        <w:rPr>
          <w:b/>
          <w:color w:val="00B0F0"/>
        </w:rPr>
      </w:pPr>
      <w:r>
        <w:rPr>
          <w:b/>
          <w:color w:val="00B0F0"/>
        </w:rPr>
        <w:t>D</w:t>
      </w:r>
      <w:r w:rsidR="00971883">
        <w:rPr>
          <w:b/>
          <w:color w:val="00B0F0"/>
        </w:rPr>
        <w:t>oit-on</w:t>
      </w:r>
      <w:r w:rsidR="000A4B89" w:rsidRPr="009A1846">
        <w:rPr>
          <w:b/>
          <w:color w:val="00B0F0"/>
        </w:rPr>
        <w:t xml:space="preserve"> effectuer un </w:t>
      </w:r>
      <w:r w:rsidR="000D14B8" w:rsidRPr="000D14B8">
        <w:rPr>
          <w:b/>
          <w:color w:val="00B0F0"/>
        </w:rPr>
        <w:t xml:space="preserve">rapport social unique </w:t>
      </w:r>
      <w:r w:rsidR="001D771B">
        <w:rPr>
          <w:b/>
          <w:color w:val="00B0F0"/>
        </w:rPr>
        <w:t xml:space="preserve">pour </w:t>
      </w:r>
      <w:r w:rsidR="00971883">
        <w:rPr>
          <w:b/>
          <w:color w:val="00B0F0"/>
        </w:rPr>
        <w:t xml:space="preserve">un </w:t>
      </w:r>
      <w:r w:rsidR="00971883" w:rsidRPr="009A1846">
        <w:rPr>
          <w:b/>
          <w:color w:val="00B0F0"/>
        </w:rPr>
        <w:t xml:space="preserve">OPH, </w:t>
      </w:r>
      <w:r w:rsidR="00971883">
        <w:rPr>
          <w:b/>
          <w:color w:val="00B0F0"/>
        </w:rPr>
        <w:t xml:space="preserve">un office du tourisme, ou un établissement portuaire </w:t>
      </w:r>
      <w:r w:rsidR="000A4B89" w:rsidRPr="009A1846">
        <w:rPr>
          <w:b/>
          <w:color w:val="00B0F0"/>
        </w:rPr>
        <w:t>?</w:t>
      </w:r>
    </w:p>
    <w:p w14:paraId="110E937E" w14:textId="04E4A644" w:rsidR="000A4B89" w:rsidRPr="00871369" w:rsidRDefault="000A4B89" w:rsidP="0066164D">
      <w:pPr>
        <w:jc w:val="both"/>
      </w:pPr>
      <w:r w:rsidRPr="00871369">
        <w:t xml:space="preserve">Ces structures sont tenues de renseigner le </w:t>
      </w:r>
      <w:r w:rsidR="000D14B8">
        <w:t>rapport social unique</w:t>
      </w:r>
      <w:r w:rsidR="000D14B8" w:rsidRPr="00D461C9">
        <w:t xml:space="preserve"> </w:t>
      </w:r>
      <w:r w:rsidRPr="00871369">
        <w:t>pour leurs fonctionnaires et leurs agents contractuels de droit public. Les agents contractuels de droit privé ne doivent pas y figurer.</w:t>
      </w:r>
    </w:p>
    <w:p w14:paraId="773CF0EF" w14:textId="77777777" w:rsidR="00313FF7" w:rsidRPr="00871369" w:rsidRDefault="00313FF7" w:rsidP="002C44BE">
      <w:pPr>
        <w:jc w:val="both"/>
      </w:pPr>
    </w:p>
    <w:p w14:paraId="77F3E872" w14:textId="1A022AB2" w:rsidR="00313FF7" w:rsidRPr="009A1846" w:rsidRDefault="00313FF7" w:rsidP="00313FF7">
      <w:pPr>
        <w:jc w:val="both"/>
        <w:rPr>
          <w:rFonts w:cs="Arial"/>
          <w:b/>
          <w:color w:val="00B0F0"/>
          <w:szCs w:val="24"/>
        </w:rPr>
      </w:pPr>
      <w:r w:rsidRPr="009A1846">
        <w:rPr>
          <w:rFonts w:cs="Arial"/>
          <w:b/>
          <w:color w:val="00B0F0"/>
          <w:szCs w:val="24"/>
        </w:rPr>
        <w:t xml:space="preserve">Est-ce que les collectivités non affiliées doivent envoyer leur </w:t>
      </w:r>
      <w:r w:rsidR="000D14B8" w:rsidRPr="000D14B8">
        <w:rPr>
          <w:rFonts w:cs="Arial"/>
          <w:b/>
          <w:color w:val="00B0F0"/>
          <w:szCs w:val="24"/>
        </w:rPr>
        <w:t xml:space="preserve">rapport social unique </w:t>
      </w:r>
      <w:r w:rsidRPr="009A1846">
        <w:rPr>
          <w:rFonts w:cs="Arial"/>
          <w:b/>
          <w:color w:val="00B0F0"/>
          <w:szCs w:val="24"/>
        </w:rPr>
        <w:t>au centre de gestion ?</w:t>
      </w:r>
    </w:p>
    <w:p w14:paraId="516AE1D3" w14:textId="62C8D26E" w:rsidR="00927298" w:rsidRPr="00D444A2" w:rsidRDefault="00927298" w:rsidP="00927298">
      <w:pPr>
        <w:jc w:val="both"/>
      </w:pPr>
      <w:r w:rsidRPr="00D444A2">
        <w:t>Selon le décret n°2020-1493 du 30 novembre 2020</w:t>
      </w:r>
      <w:r w:rsidR="00DF5ABE" w:rsidRPr="00D444A2">
        <w:t>,</w:t>
      </w:r>
      <w:r w:rsidRPr="00D444A2">
        <w:t xml:space="preserve"> l’application de saisie Données sociales est </w:t>
      </w:r>
      <w:r w:rsidR="00DF5ABE" w:rsidRPr="00D444A2">
        <w:t>« </w:t>
      </w:r>
      <w:r w:rsidRPr="00D444A2">
        <w:t>accessible aux collectivités territoriales et à leurs établissements non affiliés à un centre de gestion ».</w:t>
      </w:r>
      <w:r w:rsidR="00635115" w:rsidRPr="00D444A2">
        <w:t xml:space="preserve"> Il s’agit d</w:t>
      </w:r>
      <w:r w:rsidR="00242AF2" w:rsidRPr="00D444A2">
        <w:t xml:space="preserve">u </w:t>
      </w:r>
      <w:r w:rsidR="00635115" w:rsidRPr="00D444A2">
        <w:t>seul</w:t>
      </w:r>
      <w:r w:rsidR="00242AF2" w:rsidRPr="00D444A2">
        <w:t xml:space="preserve"> </w:t>
      </w:r>
      <w:r w:rsidR="00635115" w:rsidRPr="00D444A2">
        <w:t xml:space="preserve">mode de transmission du rapport social </w:t>
      </w:r>
      <w:r w:rsidR="00635115" w:rsidRPr="00D444A2">
        <w:rPr>
          <w:szCs w:val="24"/>
        </w:rPr>
        <w:t>unique</w:t>
      </w:r>
      <w:r w:rsidR="00242AF2" w:rsidRPr="00D444A2">
        <w:rPr>
          <w:rStyle w:val="Marquedecommentaire"/>
          <w:sz w:val="24"/>
          <w:szCs w:val="24"/>
        </w:rPr>
        <w:t xml:space="preserve"> </w:t>
      </w:r>
      <w:r w:rsidR="00D444A2" w:rsidRPr="00D444A2">
        <w:rPr>
          <w:rStyle w:val="Marquedecommentaire"/>
          <w:sz w:val="24"/>
          <w:szCs w:val="24"/>
        </w:rPr>
        <w:t>e</w:t>
      </w:r>
      <w:r w:rsidR="00242AF2" w:rsidRPr="00D444A2">
        <w:rPr>
          <w:szCs w:val="24"/>
        </w:rPr>
        <w:t>xistant</w:t>
      </w:r>
      <w:r w:rsidR="00242AF2" w:rsidRPr="00D444A2">
        <w:t>.</w:t>
      </w:r>
    </w:p>
    <w:p w14:paraId="462FBA2E" w14:textId="77777777" w:rsidR="00313FF7" w:rsidRPr="00871369" w:rsidRDefault="00313FF7" w:rsidP="00313FF7">
      <w:pPr>
        <w:jc w:val="both"/>
        <w:rPr>
          <w:rFonts w:cs="Arial"/>
          <w:szCs w:val="24"/>
        </w:rPr>
      </w:pPr>
    </w:p>
    <w:p w14:paraId="30063FFE" w14:textId="38402173" w:rsidR="00313FF7" w:rsidRPr="009A1846" w:rsidRDefault="00313FF7" w:rsidP="00313FF7">
      <w:pPr>
        <w:jc w:val="both"/>
        <w:rPr>
          <w:rFonts w:cs="Arial"/>
          <w:b/>
          <w:color w:val="00B0F0"/>
          <w:szCs w:val="24"/>
        </w:rPr>
      </w:pPr>
      <w:r w:rsidRPr="009A1846">
        <w:rPr>
          <w:rFonts w:cs="Arial"/>
          <w:b/>
          <w:color w:val="00B0F0"/>
          <w:szCs w:val="24"/>
        </w:rPr>
        <w:t xml:space="preserve">Les collectivités affiliées doivent-elles envoyer le </w:t>
      </w:r>
      <w:r w:rsidR="000D14B8" w:rsidRPr="000D14B8">
        <w:rPr>
          <w:rFonts w:cs="Arial"/>
          <w:b/>
          <w:color w:val="00B0F0"/>
          <w:szCs w:val="24"/>
        </w:rPr>
        <w:t xml:space="preserve">rapport social unique </w:t>
      </w:r>
      <w:r w:rsidRPr="009A1846">
        <w:rPr>
          <w:rFonts w:cs="Arial"/>
          <w:b/>
          <w:color w:val="00B0F0"/>
          <w:szCs w:val="24"/>
        </w:rPr>
        <w:t>à la préfecture après le passage en comité technique ?</w:t>
      </w:r>
    </w:p>
    <w:p w14:paraId="7AD1BF79" w14:textId="59626B40" w:rsidR="00313FF7" w:rsidRPr="00D444A2" w:rsidRDefault="00313FF7" w:rsidP="00313FF7">
      <w:pPr>
        <w:jc w:val="both"/>
        <w:rPr>
          <w:rFonts w:cs="Arial"/>
          <w:szCs w:val="24"/>
        </w:rPr>
      </w:pPr>
      <w:r w:rsidRPr="00D444A2">
        <w:rPr>
          <w:rFonts w:cs="Arial"/>
          <w:szCs w:val="24"/>
        </w:rPr>
        <w:t>En pratique, les collectivités affil</w:t>
      </w:r>
      <w:r w:rsidR="004451E5" w:rsidRPr="00D444A2">
        <w:rPr>
          <w:rFonts w:cs="Arial"/>
          <w:szCs w:val="24"/>
        </w:rPr>
        <w:t xml:space="preserve">iées au centre de gestion </w:t>
      </w:r>
      <w:r w:rsidRPr="00D444A2">
        <w:rPr>
          <w:rFonts w:cs="Arial"/>
          <w:szCs w:val="24"/>
        </w:rPr>
        <w:t xml:space="preserve">doivent transmettre leur </w:t>
      </w:r>
      <w:r w:rsidR="000D14B8" w:rsidRPr="00D444A2">
        <w:rPr>
          <w:rFonts w:cs="Arial"/>
          <w:szCs w:val="24"/>
        </w:rPr>
        <w:t xml:space="preserve">rapport social unique </w:t>
      </w:r>
      <w:r w:rsidRPr="00D444A2">
        <w:rPr>
          <w:rFonts w:cs="Arial"/>
          <w:szCs w:val="24"/>
        </w:rPr>
        <w:t xml:space="preserve">au centre de gestion. Ce dernier se chargera ensuite de transmettre les </w:t>
      </w:r>
      <w:r w:rsidR="000D14B8" w:rsidRPr="00D444A2">
        <w:rPr>
          <w:rFonts w:cs="Arial"/>
          <w:szCs w:val="24"/>
        </w:rPr>
        <w:t>RSU</w:t>
      </w:r>
      <w:r w:rsidRPr="00D444A2">
        <w:rPr>
          <w:rFonts w:cs="Arial"/>
          <w:szCs w:val="24"/>
        </w:rPr>
        <w:t xml:space="preserve"> </w:t>
      </w:r>
      <w:r w:rsidR="00635115" w:rsidRPr="00D444A2">
        <w:rPr>
          <w:rFonts w:cs="Arial"/>
          <w:szCs w:val="24"/>
        </w:rPr>
        <w:t xml:space="preserve">des collectivités affiliées et non affilées </w:t>
      </w:r>
      <w:r w:rsidRPr="00D444A2">
        <w:rPr>
          <w:rFonts w:cs="Arial"/>
          <w:szCs w:val="24"/>
        </w:rPr>
        <w:t>à la direction générale de</w:t>
      </w:r>
      <w:r w:rsidR="00672E54" w:rsidRPr="00D444A2">
        <w:rPr>
          <w:rFonts w:cs="Arial"/>
          <w:szCs w:val="24"/>
        </w:rPr>
        <w:t>s collectivités locales (DGCL) et aux préfectures.</w:t>
      </w:r>
    </w:p>
    <w:p w14:paraId="5BAB7ABE" w14:textId="77777777" w:rsidR="00313FF7" w:rsidRPr="00871369" w:rsidRDefault="00313FF7" w:rsidP="00313FF7">
      <w:pPr>
        <w:jc w:val="both"/>
        <w:rPr>
          <w:rFonts w:cs="Arial"/>
          <w:szCs w:val="24"/>
        </w:rPr>
      </w:pPr>
    </w:p>
    <w:p w14:paraId="5C90B98B" w14:textId="77777777" w:rsidR="00313FF7" w:rsidRPr="009A1846" w:rsidRDefault="00672E54" w:rsidP="00313FF7">
      <w:pPr>
        <w:jc w:val="both"/>
        <w:rPr>
          <w:b/>
          <w:color w:val="00B0F0"/>
        </w:rPr>
      </w:pPr>
      <w:r>
        <w:rPr>
          <w:b/>
          <w:color w:val="00B0F0"/>
        </w:rPr>
        <w:t>La confidentialité des données saisies</w:t>
      </w:r>
      <w:r w:rsidR="00313FF7" w:rsidRPr="009A1846">
        <w:rPr>
          <w:b/>
          <w:color w:val="00B0F0"/>
        </w:rPr>
        <w:t xml:space="preserve"> est-elle garantie ? </w:t>
      </w:r>
    </w:p>
    <w:p w14:paraId="372AE044" w14:textId="51C059F7" w:rsidR="00313FF7" w:rsidRPr="00D444A2" w:rsidRDefault="00635115" w:rsidP="00313FF7">
      <w:pPr>
        <w:jc w:val="both"/>
      </w:pPr>
      <w:r w:rsidRPr="00D444A2">
        <w:t>L</w:t>
      </w:r>
      <w:r w:rsidR="00313FF7" w:rsidRPr="00D444A2">
        <w:t>a confidentialité des données constitue une prio</w:t>
      </w:r>
      <w:r w:rsidR="004F31DE" w:rsidRPr="00D444A2">
        <w:t xml:space="preserve">rité et un engagement pour les centres de gestion. </w:t>
      </w:r>
      <w:r w:rsidR="00313FF7" w:rsidRPr="00D444A2">
        <w:t xml:space="preserve">Pour les collectivités qui travaillent sur le support « agent par agent », les données saisies de manière individuelle (et donc nominatives lors de la saisie) sont rendues anonymes lors de la transmission </w:t>
      </w:r>
      <w:r w:rsidR="00EB499F" w:rsidRPr="00D444A2">
        <w:t xml:space="preserve">aux centres de gestion </w:t>
      </w:r>
      <w:r w:rsidR="00313FF7" w:rsidRPr="00D444A2">
        <w:t xml:space="preserve">par </w:t>
      </w:r>
      <w:r w:rsidR="00EB499F" w:rsidRPr="00D444A2">
        <w:t>l’application « données sociales des centres de gestion »</w:t>
      </w:r>
      <w:r w:rsidR="00313FF7" w:rsidRPr="00D444A2">
        <w:t xml:space="preserve">. Ainsi, la confidentialité des saisies est parfaitement respectée. Cela permettra </w:t>
      </w:r>
      <w:r w:rsidRPr="00D444A2">
        <w:t xml:space="preserve">au centre de gestion </w:t>
      </w:r>
      <w:r w:rsidR="00313FF7" w:rsidRPr="00D444A2">
        <w:t xml:space="preserve">uniquement d’effectuer des analyses plus fines sur les effectifs des collectivités qui ont utilisé ce module. Une déclaration à la CNIL de la base de données a été par ailleurs effectuée. </w:t>
      </w:r>
    </w:p>
    <w:p w14:paraId="02EA5138" w14:textId="77777777" w:rsidR="00313FF7" w:rsidRPr="00497E98" w:rsidRDefault="00313FF7" w:rsidP="00313FF7">
      <w:pPr>
        <w:jc w:val="both"/>
        <w:rPr>
          <w:rFonts w:cs="Arial"/>
          <w:szCs w:val="24"/>
        </w:rPr>
      </w:pPr>
    </w:p>
    <w:p w14:paraId="723A93E1" w14:textId="77777777" w:rsidR="000268EC" w:rsidRPr="009A1846" w:rsidRDefault="000268EC" w:rsidP="000268EC">
      <w:pPr>
        <w:jc w:val="both"/>
        <w:rPr>
          <w:b/>
          <w:color w:val="00B0F0"/>
        </w:rPr>
      </w:pPr>
      <w:r w:rsidRPr="009A1846">
        <w:rPr>
          <w:b/>
          <w:color w:val="00B0F0"/>
        </w:rPr>
        <w:t>Quels éléments sont à présenter en comité technique ?</w:t>
      </w:r>
    </w:p>
    <w:p w14:paraId="3FB2598A" w14:textId="475FDAA7" w:rsidR="003D1496" w:rsidRPr="006E71CC" w:rsidRDefault="003D1496" w:rsidP="000268EC">
      <w:pPr>
        <w:jc w:val="both"/>
      </w:pPr>
      <w:r w:rsidRPr="006E71CC">
        <w:t xml:space="preserve">Selon l’article 5 de la loi de transformation de la fonction publique du 6 août 2019, les collectivités « élaborent chaque année un rapport social unique rassemblant les éléments et données à partir desquels sont établies les lignes directrices de gestion ». L’article 5 du décret </w:t>
      </w:r>
      <w:r w:rsidR="00177DFE" w:rsidRPr="006E71CC">
        <w:t xml:space="preserve">n°2020-1493 du 30 novembre 2020 </w:t>
      </w:r>
      <w:r w:rsidRPr="006E71CC">
        <w:t xml:space="preserve">précise que le RSU </w:t>
      </w:r>
      <w:r w:rsidR="00177DFE" w:rsidRPr="006E71CC">
        <w:t>« présente les analyses permettant d’apprécier notamment</w:t>
      </w:r>
      <w:r w:rsidR="00F8232A">
        <w:t xml:space="preserve"> </w:t>
      </w:r>
      <w:r w:rsidR="00177DFE" w:rsidRPr="006E71CC">
        <w:t>:</w:t>
      </w:r>
    </w:p>
    <w:p w14:paraId="07606009" w14:textId="2AB1CBFF" w:rsidR="003D1496" w:rsidRPr="006E71CC" w:rsidRDefault="003D1496" w:rsidP="000268EC">
      <w:pPr>
        <w:jc w:val="both"/>
      </w:pPr>
      <w:r w:rsidRPr="006E71CC">
        <w:t>1° Les caractéristiques des emplois et la situation des agents relevant du comité social ainsi que, le cas échéant, de ceux qui ne sont pas électeurs de ce comité</w:t>
      </w:r>
      <w:r w:rsidR="00FF137C">
        <w:t xml:space="preserve"> </w:t>
      </w:r>
      <w:r w:rsidRPr="006E71CC">
        <w:t xml:space="preserve">; </w:t>
      </w:r>
    </w:p>
    <w:p w14:paraId="18323A91" w14:textId="01EBADB0" w:rsidR="003D1496" w:rsidRPr="006E71CC" w:rsidRDefault="003D1496" w:rsidP="000268EC">
      <w:pPr>
        <w:jc w:val="both"/>
      </w:pPr>
      <w:r w:rsidRPr="006E71CC">
        <w:t>2° La situation comparée des femmes et des hommes et son évolution</w:t>
      </w:r>
      <w:r w:rsidR="00FF137C">
        <w:t xml:space="preserve"> </w:t>
      </w:r>
      <w:r w:rsidRPr="006E71CC">
        <w:t xml:space="preserve">; </w:t>
      </w:r>
    </w:p>
    <w:p w14:paraId="4C4803F8" w14:textId="7237CB1A" w:rsidR="00A8362B" w:rsidRDefault="003D1496" w:rsidP="000268EC">
      <w:pPr>
        <w:jc w:val="both"/>
      </w:pPr>
      <w:r w:rsidRPr="006E71CC">
        <w:t>3° La mise en œuvre des mesures relatives à la diversité, à la lutte contre les discriminations et à l’insertion professionnelle, notamment en ce qui concerne les personnes en situation de handicap.</w:t>
      </w:r>
      <w:r w:rsidR="00177DFE" w:rsidRPr="006E71CC">
        <w:t> »</w:t>
      </w:r>
    </w:p>
    <w:p w14:paraId="0235AE07" w14:textId="77777777" w:rsidR="003D1496" w:rsidRDefault="003D1496" w:rsidP="000268EC">
      <w:pPr>
        <w:jc w:val="both"/>
      </w:pPr>
    </w:p>
    <w:p w14:paraId="348954C1" w14:textId="77777777" w:rsidR="000268EC" w:rsidRPr="00871369" w:rsidRDefault="000268EC" w:rsidP="000268EC">
      <w:pPr>
        <w:jc w:val="both"/>
      </w:pPr>
      <w:r w:rsidRPr="00871369">
        <w:t xml:space="preserve">En fonction des données disponibles, il peut également être opportun de suivre et d’analyser l’évolution des principaux indicateurs ainsi que de présenter les perspectives en matière de politique de gestion des ressources humaines pour la collectivité. </w:t>
      </w:r>
    </w:p>
    <w:p w14:paraId="138551C0" w14:textId="77777777" w:rsidR="000268EC" w:rsidRPr="00871369" w:rsidRDefault="000268EC" w:rsidP="000268EC">
      <w:pPr>
        <w:jc w:val="both"/>
      </w:pPr>
      <w:r w:rsidRPr="00871369">
        <w:lastRenderedPageBreak/>
        <w:t>L’application propose une synthèse graphique qui peut être une base de travail à présenter devant le comité technique.</w:t>
      </w:r>
    </w:p>
    <w:p w14:paraId="7C9DF0DD" w14:textId="77777777" w:rsidR="000268EC" w:rsidRPr="00871369" w:rsidRDefault="000268EC" w:rsidP="000268EC">
      <w:pPr>
        <w:jc w:val="both"/>
      </w:pPr>
      <w:r w:rsidRPr="00871369">
        <w:t xml:space="preserve">Dans le cadre de la gestion du </w:t>
      </w:r>
      <w:r w:rsidR="00EB499F">
        <w:t xml:space="preserve">dialogue social interne, il peut être opportun </w:t>
      </w:r>
      <w:r w:rsidRPr="00871369">
        <w:t xml:space="preserve">de valider avec les membres du comité technique le sommaire du </w:t>
      </w:r>
      <w:r w:rsidR="00241F19" w:rsidRPr="00241F19">
        <w:t>bilan social</w:t>
      </w:r>
      <w:r w:rsidRPr="00871369">
        <w:t>.</w:t>
      </w:r>
    </w:p>
    <w:p w14:paraId="522E3E61" w14:textId="77777777" w:rsidR="00A8362B" w:rsidRPr="00871369" w:rsidRDefault="00A8362B" w:rsidP="002C44BE">
      <w:pPr>
        <w:jc w:val="both"/>
        <w:rPr>
          <w:b/>
        </w:rPr>
      </w:pPr>
    </w:p>
    <w:p w14:paraId="531BDEE3" w14:textId="12C3B46C" w:rsidR="002C44BE" w:rsidRPr="009A1846" w:rsidRDefault="001D771B" w:rsidP="002C44BE">
      <w:pPr>
        <w:jc w:val="both"/>
        <w:rPr>
          <w:b/>
          <w:color w:val="00B0F0"/>
        </w:rPr>
      </w:pPr>
      <w:r>
        <w:rPr>
          <w:b/>
          <w:color w:val="00B0F0"/>
        </w:rPr>
        <w:t>Qui peut consulter le</w:t>
      </w:r>
      <w:r w:rsidR="002C44BE" w:rsidRPr="009A1846">
        <w:rPr>
          <w:b/>
          <w:color w:val="00B0F0"/>
        </w:rPr>
        <w:t xml:space="preserve"> </w:t>
      </w:r>
      <w:r w:rsidR="000D14B8" w:rsidRPr="000D14B8">
        <w:rPr>
          <w:b/>
          <w:color w:val="00B0F0"/>
        </w:rPr>
        <w:t>rapport social unique</w:t>
      </w:r>
      <w:r w:rsidR="000D14B8">
        <w:rPr>
          <w:b/>
          <w:color w:val="00B0F0"/>
        </w:rPr>
        <w:t xml:space="preserve"> </w:t>
      </w:r>
      <w:r w:rsidR="002C44BE" w:rsidRPr="009A1846">
        <w:rPr>
          <w:b/>
          <w:color w:val="00B0F0"/>
        </w:rPr>
        <w:t>?</w:t>
      </w:r>
    </w:p>
    <w:p w14:paraId="6F428786" w14:textId="45FF6628" w:rsidR="00FF7D11" w:rsidRDefault="002C44BE" w:rsidP="002C44BE">
      <w:pPr>
        <w:jc w:val="both"/>
      </w:pPr>
      <w:r w:rsidRPr="00871369">
        <w:t>La</w:t>
      </w:r>
      <w:r w:rsidR="00FE1D07" w:rsidRPr="00871369">
        <w:t xml:space="preserve"> commission d’accès aux documents administratifs (CADA)</w:t>
      </w:r>
      <w:r w:rsidRPr="00871369">
        <w:t xml:space="preserve"> considère que le </w:t>
      </w:r>
      <w:r w:rsidR="000D14B8" w:rsidRPr="000D14B8">
        <w:t>rapport social unique</w:t>
      </w:r>
      <w:r w:rsidR="00497E98" w:rsidRPr="00871369">
        <w:t>,</w:t>
      </w:r>
      <w:r w:rsidRPr="00871369">
        <w:t xml:space="preserve"> une fois établi par l’autorité territoriale, est communicable à toute personne qui le demande, en application de l’article </w:t>
      </w:r>
      <w:r w:rsidR="00EB2714">
        <w:t>L. 311-</w:t>
      </w:r>
      <w:r w:rsidR="00242AF2">
        <w:t>1</w:t>
      </w:r>
      <w:r w:rsidR="00EB2714">
        <w:t xml:space="preserve"> du code des relations entre le public et l’administration</w:t>
      </w:r>
      <w:r w:rsidRPr="00871369">
        <w:t xml:space="preserve">, dès le moment où le comité technique a adopté son avis sur le </w:t>
      </w:r>
      <w:r w:rsidR="000D14B8" w:rsidRPr="000D14B8">
        <w:t xml:space="preserve">rapport social unique </w:t>
      </w:r>
      <w:r w:rsidRPr="00871369">
        <w:t>ou, à défaut d’avis du comité technique,</w:t>
      </w:r>
      <w:r w:rsidR="00CA2BF4">
        <w:t xml:space="preserve"> </w:t>
      </w:r>
      <w:r w:rsidR="00CA2BF4" w:rsidRPr="006E71CC">
        <w:t>au 31 décembre de l’année de la réalisation du rapport</w:t>
      </w:r>
      <w:r w:rsidR="00EB2714" w:rsidRPr="006E71CC">
        <w:t>.</w:t>
      </w:r>
      <w:r w:rsidR="00EB2714">
        <w:t xml:space="preserve"> </w:t>
      </w:r>
    </w:p>
    <w:p w14:paraId="66561072" w14:textId="0D6D2C2B" w:rsidR="002C44BE" w:rsidRPr="00871369" w:rsidRDefault="002C44BE" w:rsidP="002C44BE">
      <w:pPr>
        <w:jc w:val="both"/>
      </w:pPr>
      <w:r w:rsidRPr="00871369">
        <w:t>Ne doivent être occultés de ce document, le cas échéant, que les éventuelles mentions dont la communication porterait atteinte à la vie privée des agents concernés ou qui comporteraient une appréciation ou un jugement de valeur sur des personnes nommément désignées ou facilement identifiables.</w:t>
      </w:r>
    </w:p>
    <w:p w14:paraId="0EC1CD7E" w14:textId="7D39FE46" w:rsidR="00B57A95" w:rsidRPr="00D444A2" w:rsidRDefault="00B57A95" w:rsidP="00B57A95">
      <w:pPr>
        <w:jc w:val="both"/>
      </w:pPr>
      <w:r w:rsidRPr="00D444A2">
        <w:t>Tout agent ayant travaillé au moins un jour en 20</w:t>
      </w:r>
      <w:r w:rsidR="00996D9E" w:rsidRPr="00D444A2">
        <w:t>2</w:t>
      </w:r>
      <w:r w:rsidR="00635115" w:rsidRPr="00D444A2">
        <w:t>1</w:t>
      </w:r>
      <w:r w:rsidRPr="00D444A2">
        <w:t xml:space="preserve"> dans votre commune peut demander communication du </w:t>
      </w:r>
      <w:r w:rsidR="000D14B8" w:rsidRPr="00D444A2">
        <w:t>rapport social unique</w:t>
      </w:r>
      <w:r w:rsidRPr="00D444A2">
        <w:t>. Aucune catégorie d'agent n'est exclue : l'obligation s'étend aux contractuels, saisonniers, vacataires</w:t>
      </w:r>
      <w:r w:rsidR="004876E5">
        <w:t>,</w:t>
      </w:r>
      <w:r w:rsidR="00E758A7" w:rsidRPr="00D444A2">
        <w:t xml:space="preserve"> </w:t>
      </w:r>
      <w:r w:rsidR="00EE1044" w:rsidRPr="00D444A2">
        <w:t>etc.</w:t>
      </w:r>
    </w:p>
    <w:p w14:paraId="3BF519B7" w14:textId="77777777" w:rsidR="00B57A95" w:rsidRDefault="00B57A95" w:rsidP="002C44BE">
      <w:pPr>
        <w:jc w:val="both"/>
      </w:pPr>
    </w:p>
    <w:p w14:paraId="74D5DFCA" w14:textId="159262F0" w:rsidR="00A84241" w:rsidRPr="004D13FC" w:rsidRDefault="00A84241" w:rsidP="002C44BE">
      <w:pPr>
        <w:jc w:val="both"/>
        <w:rPr>
          <w:b/>
          <w:color w:val="00B0F0"/>
        </w:rPr>
      </w:pPr>
      <w:bookmarkStart w:id="1" w:name="_Hlk106202569"/>
      <w:r w:rsidRPr="004D13FC">
        <w:rPr>
          <w:b/>
          <w:color w:val="00B0F0"/>
        </w:rPr>
        <w:t xml:space="preserve">Le RSU doit-il être rendu </w:t>
      </w:r>
      <w:r w:rsidR="00662A1E" w:rsidRPr="00D444A2">
        <w:rPr>
          <w:b/>
          <w:color w:val="00B0F0"/>
        </w:rPr>
        <w:t>accessible</w:t>
      </w:r>
      <w:r w:rsidRPr="004D13FC">
        <w:rPr>
          <w:b/>
          <w:color w:val="00B0F0"/>
        </w:rPr>
        <w:t> ?</w:t>
      </w:r>
    </w:p>
    <w:bookmarkEnd w:id="1"/>
    <w:p w14:paraId="4BF72B83" w14:textId="0C1D8718" w:rsidR="00A84241" w:rsidRPr="00D444A2" w:rsidRDefault="00A84241" w:rsidP="002C44BE">
      <w:pPr>
        <w:jc w:val="both"/>
      </w:pPr>
      <w:r w:rsidRPr="00D444A2">
        <w:t xml:space="preserve">Oui. </w:t>
      </w:r>
      <w:r w:rsidR="00D40825" w:rsidRPr="00D444A2">
        <w:t>Selon l</w:t>
      </w:r>
      <w:r w:rsidR="00D444A2" w:rsidRPr="00D444A2">
        <w:t>’article 10</w:t>
      </w:r>
      <w:r w:rsidRPr="00D444A2">
        <w:t xml:space="preserve"> décret du 30 novembre 2020</w:t>
      </w:r>
      <w:r w:rsidR="00D40825" w:rsidRPr="00D444A2">
        <w:t xml:space="preserve">, le rapport social unique doit être rendu </w:t>
      </w:r>
      <w:r w:rsidR="00662A1E" w:rsidRPr="00D444A2">
        <w:t>accessible</w:t>
      </w:r>
      <w:r w:rsidR="00D40825" w:rsidRPr="00D444A2">
        <w:t xml:space="preserve"> </w:t>
      </w:r>
      <w:r w:rsidR="00662A1E" w:rsidRPr="00D444A2">
        <w:t>via son intranet</w:t>
      </w:r>
      <w:r w:rsidR="00D40825" w:rsidRPr="00D444A2">
        <w:t xml:space="preserve"> ou par tout autre moyen permettant d’en assurer la diffusion dans un délai de soixante jours à compter de la présentation du RSU au comité technique et au plus tard avant le 31/12/202</w:t>
      </w:r>
      <w:r w:rsidR="00635115" w:rsidRPr="00D444A2">
        <w:t>2</w:t>
      </w:r>
      <w:r w:rsidR="00D40825" w:rsidRPr="00D444A2">
        <w:t>.</w:t>
      </w:r>
    </w:p>
    <w:p w14:paraId="3A1215BD" w14:textId="77777777" w:rsidR="00A84241" w:rsidRPr="00871369" w:rsidRDefault="00A84241" w:rsidP="002C44BE">
      <w:pPr>
        <w:jc w:val="both"/>
      </w:pPr>
    </w:p>
    <w:p w14:paraId="44E84B23" w14:textId="2C1724DD" w:rsidR="00C63D92" w:rsidRPr="009A1846" w:rsidRDefault="00C63D92" w:rsidP="00C63D92">
      <w:pPr>
        <w:jc w:val="both"/>
        <w:rPr>
          <w:b/>
          <w:color w:val="00B0F0"/>
        </w:rPr>
      </w:pPr>
      <w:r w:rsidRPr="009A1846">
        <w:rPr>
          <w:b/>
          <w:color w:val="00B0F0"/>
        </w:rPr>
        <w:t xml:space="preserve">A partir de quel moment puis-je communiquer le </w:t>
      </w:r>
      <w:r w:rsidR="000D14B8" w:rsidRPr="000D14B8">
        <w:rPr>
          <w:b/>
          <w:color w:val="00B0F0"/>
        </w:rPr>
        <w:t xml:space="preserve">rapport social unique </w:t>
      </w:r>
      <w:r w:rsidRPr="009A1846">
        <w:rPr>
          <w:b/>
          <w:color w:val="00B0F0"/>
        </w:rPr>
        <w:t xml:space="preserve">à l'ensemble des organisations syndicales ? </w:t>
      </w:r>
    </w:p>
    <w:p w14:paraId="1E974666" w14:textId="40990952" w:rsidR="00C63D92" w:rsidRPr="00871369" w:rsidRDefault="00C63D92" w:rsidP="00C63D92">
      <w:pPr>
        <w:jc w:val="both"/>
      </w:pPr>
      <w:r w:rsidRPr="00871369">
        <w:t xml:space="preserve">Au-delà des organisations syndicales siégeant au comité technique, vous pouvez communiquer le </w:t>
      </w:r>
      <w:r w:rsidR="00327B1E" w:rsidRPr="00327B1E">
        <w:t xml:space="preserve">rapport social unique </w:t>
      </w:r>
      <w:r w:rsidRPr="00871369">
        <w:t>à l’ensemble des organisations syndicales à partir du moment où ce dernier a été présenté en comité technique et que le comité technique a émis un avis.</w:t>
      </w:r>
    </w:p>
    <w:p w14:paraId="2C7471E0" w14:textId="77777777" w:rsidR="00C63D92" w:rsidRPr="00871369" w:rsidRDefault="00C63D92" w:rsidP="00497E98">
      <w:pPr>
        <w:jc w:val="both"/>
        <w:rPr>
          <w:rFonts w:cs="Arial"/>
          <w:b/>
          <w:szCs w:val="24"/>
        </w:rPr>
      </w:pPr>
    </w:p>
    <w:p w14:paraId="0A416868" w14:textId="054E70A3" w:rsidR="001716D9" w:rsidRPr="009A1846" w:rsidRDefault="001716D9" w:rsidP="001716D9">
      <w:pPr>
        <w:jc w:val="both"/>
        <w:rPr>
          <w:b/>
          <w:color w:val="00B0F0"/>
        </w:rPr>
      </w:pPr>
      <w:r w:rsidRPr="009A1846">
        <w:rPr>
          <w:b/>
          <w:color w:val="00B0F0"/>
        </w:rPr>
        <w:t xml:space="preserve">Combien de temps dois-je conserver les différentes sessions du </w:t>
      </w:r>
      <w:r w:rsidR="00327B1E" w:rsidRPr="00327B1E">
        <w:rPr>
          <w:b/>
          <w:color w:val="00B0F0"/>
        </w:rPr>
        <w:t>rapport social unique</w:t>
      </w:r>
      <w:r w:rsidR="00327B1E">
        <w:rPr>
          <w:b/>
          <w:color w:val="00B0F0"/>
        </w:rPr>
        <w:t xml:space="preserve"> </w:t>
      </w:r>
      <w:r w:rsidRPr="009A1846">
        <w:rPr>
          <w:b/>
          <w:color w:val="00B0F0"/>
        </w:rPr>
        <w:t>?</w:t>
      </w:r>
    </w:p>
    <w:p w14:paraId="0A4F22F2" w14:textId="4E843FD7" w:rsidR="001716D9" w:rsidRPr="00871369" w:rsidRDefault="001716D9" w:rsidP="001716D9">
      <w:pPr>
        <w:jc w:val="both"/>
      </w:pPr>
      <w:r w:rsidRPr="00871369">
        <w:t xml:space="preserve">Il est fortement conseillé de conserver chaque session du </w:t>
      </w:r>
      <w:r w:rsidR="00327B1E" w:rsidRPr="00327B1E">
        <w:t xml:space="preserve">rapport social unique </w:t>
      </w:r>
      <w:r w:rsidRPr="00871369">
        <w:t xml:space="preserve">pour des usages internes (comparaison, évolution, </w:t>
      </w:r>
      <w:r w:rsidR="00EE1044" w:rsidRPr="00871369">
        <w:t>etc.</w:t>
      </w:r>
      <w:r w:rsidRPr="00871369">
        <w:t>) mais également externes (en particulier contrôle de la Chambre Régionale des C</w:t>
      </w:r>
      <w:r w:rsidR="00EB2714">
        <w:t>omptes). La conservation sur au moins 5 ans</w:t>
      </w:r>
      <w:r w:rsidRPr="00871369">
        <w:t xml:space="preserve"> est donc conseillée.</w:t>
      </w:r>
    </w:p>
    <w:p w14:paraId="18FC4421" w14:textId="77777777" w:rsidR="001716D9" w:rsidRPr="00871369" w:rsidRDefault="001716D9" w:rsidP="00497E98">
      <w:pPr>
        <w:jc w:val="both"/>
        <w:rPr>
          <w:rFonts w:cs="Arial"/>
          <w:b/>
          <w:szCs w:val="24"/>
        </w:rPr>
      </w:pPr>
    </w:p>
    <w:p w14:paraId="20CE71E5" w14:textId="77777777" w:rsidR="002C44BE" w:rsidRPr="00AB15BC" w:rsidRDefault="002C44BE" w:rsidP="002C44BE">
      <w:pPr>
        <w:jc w:val="both"/>
        <w:rPr>
          <w:b/>
          <w:color w:val="000000"/>
        </w:rPr>
      </w:pPr>
    </w:p>
    <w:p w14:paraId="2AF411BE" w14:textId="77777777" w:rsidR="002C44BE" w:rsidRPr="0042712C" w:rsidRDefault="00343C4B" w:rsidP="00703791">
      <w:pPr>
        <w:overflowPunct/>
        <w:autoSpaceDE/>
        <w:autoSpaceDN/>
        <w:adjustRightInd/>
        <w:jc w:val="center"/>
        <w:textAlignment w:val="auto"/>
        <w:rPr>
          <w:color w:val="00B050"/>
          <w:u w:val="single"/>
        </w:rPr>
      </w:pPr>
      <w:r>
        <w:rPr>
          <w:color w:val="00B050"/>
          <w:u w:val="single"/>
        </w:rPr>
        <w:br w:type="page"/>
      </w:r>
      <w:r w:rsidR="00D31D56" w:rsidRPr="00703791">
        <w:rPr>
          <w:rFonts w:eastAsiaTheme="majorEastAsia" w:cstheme="majorBidi"/>
          <w:b/>
          <w:bCs/>
          <w:color w:val="00B050"/>
          <w:sz w:val="32"/>
          <w:szCs w:val="28"/>
          <w:u w:val="single"/>
        </w:rPr>
        <w:lastRenderedPageBreak/>
        <w:t>C</w:t>
      </w:r>
      <w:r w:rsidR="002C44BE" w:rsidRPr="00703791">
        <w:rPr>
          <w:rFonts w:eastAsiaTheme="majorEastAsia" w:cstheme="majorBidi"/>
          <w:b/>
          <w:bCs/>
          <w:color w:val="00B050"/>
          <w:sz w:val="32"/>
          <w:szCs w:val="28"/>
          <w:u w:val="single"/>
        </w:rPr>
        <w:t>hoix de l’outil de saisie</w:t>
      </w:r>
    </w:p>
    <w:p w14:paraId="70597EA9" w14:textId="77777777" w:rsidR="002C44BE" w:rsidRPr="00E213A5" w:rsidRDefault="002C44BE" w:rsidP="002C44BE">
      <w:pPr>
        <w:jc w:val="both"/>
        <w:rPr>
          <w:b/>
          <w:color w:val="000000"/>
          <w:highlight w:val="yellow"/>
        </w:rPr>
      </w:pPr>
    </w:p>
    <w:p w14:paraId="345D1507" w14:textId="54B0724E" w:rsidR="000268EC" w:rsidRPr="009A1846" w:rsidRDefault="00662A1E" w:rsidP="000268EC">
      <w:pPr>
        <w:jc w:val="both"/>
        <w:rPr>
          <w:rFonts w:cs="Arial"/>
          <w:b/>
          <w:color w:val="00B0F0"/>
          <w:szCs w:val="24"/>
        </w:rPr>
      </w:pPr>
      <w:r w:rsidRPr="00D444A2">
        <w:rPr>
          <w:rFonts w:cs="Arial"/>
          <w:b/>
          <w:color w:val="00B0F0"/>
          <w:szCs w:val="24"/>
        </w:rPr>
        <w:t>Qui peut utiliser</w:t>
      </w:r>
      <w:r w:rsidR="000268EC" w:rsidRPr="00662A1E">
        <w:rPr>
          <w:rFonts w:cs="Arial"/>
          <w:b/>
          <w:color w:val="FF0000"/>
          <w:szCs w:val="24"/>
        </w:rPr>
        <w:t xml:space="preserve"> </w:t>
      </w:r>
      <w:r w:rsidR="000268EC" w:rsidRPr="009A1846">
        <w:rPr>
          <w:rFonts w:cs="Arial"/>
          <w:b/>
          <w:color w:val="00B0F0"/>
          <w:szCs w:val="24"/>
        </w:rPr>
        <w:t xml:space="preserve">l'application </w:t>
      </w:r>
      <w:r w:rsidR="00070186">
        <w:rPr>
          <w:rFonts w:cs="Arial"/>
          <w:b/>
          <w:color w:val="00B0F0"/>
          <w:szCs w:val="24"/>
        </w:rPr>
        <w:t xml:space="preserve">« </w:t>
      </w:r>
      <w:r w:rsidR="000268EC" w:rsidRPr="009A1846">
        <w:rPr>
          <w:rFonts w:cs="Arial"/>
          <w:b/>
          <w:color w:val="00B0F0"/>
          <w:szCs w:val="24"/>
        </w:rPr>
        <w:t>données sociales</w:t>
      </w:r>
      <w:r w:rsidR="00070186">
        <w:rPr>
          <w:rFonts w:cs="Arial"/>
          <w:b/>
          <w:color w:val="00B0F0"/>
          <w:szCs w:val="24"/>
        </w:rPr>
        <w:t> »</w:t>
      </w:r>
      <w:r w:rsidR="000268EC" w:rsidRPr="009A1846">
        <w:rPr>
          <w:rFonts w:cs="Arial"/>
          <w:b/>
          <w:color w:val="00B0F0"/>
          <w:szCs w:val="24"/>
        </w:rPr>
        <w:t> ?</w:t>
      </w:r>
    </w:p>
    <w:p w14:paraId="71FC7C4A" w14:textId="6D90ED13" w:rsidR="000268EC" w:rsidRPr="00871369" w:rsidRDefault="000268EC" w:rsidP="000268EC">
      <w:pPr>
        <w:jc w:val="both"/>
      </w:pPr>
      <w:r w:rsidRPr="00871369">
        <w:t xml:space="preserve">Toutes les collectivités peuvent utiliser cette application, y compris </w:t>
      </w:r>
      <w:proofErr w:type="gramStart"/>
      <w:r w:rsidRPr="00871369">
        <w:t>les non affiliées</w:t>
      </w:r>
      <w:proofErr w:type="gramEnd"/>
      <w:r w:rsidRPr="00871369">
        <w:t xml:space="preserve"> au </w:t>
      </w:r>
      <w:r w:rsidR="00EB2714">
        <w:t>centre de gestion</w:t>
      </w:r>
      <w:r w:rsidRPr="00871369">
        <w:t>. Cette application mise à votre dispos</w:t>
      </w:r>
      <w:r w:rsidR="00EB2714">
        <w:t>ition a été développée par les c</w:t>
      </w:r>
      <w:r w:rsidRPr="00871369">
        <w:t>entres de gestion pour optimiser le pré-remplissage de vos données, favoriser des contrôles dynamiques, mais également pour vous o</w:t>
      </w:r>
      <w:r w:rsidR="00BE2891">
        <w:t>ffrir un outil plus ergonomique</w:t>
      </w:r>
      <w:r w:rsidRPr="00871369">
        <w:t xml:space="preserve"> et des rendus statistiques. </w:t>
      </w:r>
      <w:r w:rsidR="00BE2891">
        <w:t xml:space="preserve">Les données ainsi harmonisées entre les collectivités permettent la réalisation d’études statistiques à l’échelle départementale, régionale ou nationale. </w:t>
      </w:r>
      <w:r w:rsidRPr="00871369">
        <w:t>L</w:t>
      </w:r>
      <w:r w:rsidR="00BE2891">
        <w:t>’utilisation de cet</w:t>
      </w:r>
      <w:r w:rsidRPr="00871369">
        <w:t xml:space="preserve"> outil vous permettr</w:t>
      </w:r>
      <w:r w:rsidR="00662A1E">
        <w:t>a</w:t>
      </w:r>
      <w:r w:rsidRPr="00871369">
        <w:t xml:space="preserve"> d’optimiser le temps dévolu au renseignement du </w:t>
      </w:r>
      <w:r w:rsidR="00327B1E" w:rsidRPr="00327B1E">
        <w:t>rapport social unique</w:t>
      </w:r>
      <w:r w:rsidR="00662A1E">
        <w:t xml:space="preserve"> </w:t>
      </w:r>
      <w:r w:rsidR="00662A1E" w:rsidRPr="00D444A2">
        <w:t>et de fiabiliser vos données sociales</w:t>
      </w:r>
      <w:r w:rsidR="00BE2891">
        <w:t>.</w:t>
      </w:r>
    </w:p>
    <w:p w14:paraId="7E391F69" w14:textId="77777777" w:rsidR="000268EC" w:rsidRPr="00871369" w:rsidRDefault="000268EC" w:rsidP="000268EC">
      <w:pPr>
        <w:jc w:val="both"/>
      </w:pPr>
    </w:p>
    <w:p w14:paraId="7076FB26" w14:textId="52098A0F" w:rsidR="000268EC" w:rsidRPr="009A1846" w:rsidRDefault="000268EC" w:rsidP="000268EC">
      <w:pPr>
        <w:jc w:val="both"/>
        <w:rPr>
          <w:b/>
          <w:color w:val="00B0F0"/>
        </w:rPr>
      </w:pPr>
      <w:r w:rsidRPr="009A1846">
        <w:rPr>
          <w:b/>
          <w:color w:val="00B0F0"/>
        </w:rPr>
        <w:t>Quel est l’avantage d’utiliser un import issu de la Norme 4DS (DADSU)</w:t>
      </w:r>
      <w:r w:rsidR="00635115">
        <w:rPr>
          <w:b/>
          <w:color w:val="00B0F0"/>
        </w:rPr>
        <w:t xml:space="preserve"> ou DSN</w:t>
      </w:r>
      <w:r w:rsidRPr="009A1846">
        <w:rPr>
          <w:b/>
          <w:color w:val="00B0F0"/>
        </w:rPr>
        <w:t> ?</w:t>
      </w:r>
    </w:p>
    <w:p w14:paraId="1F8DD253" w14:textId="3EF16652" w:rsidR="000268EC" w:rsidRDefault="000268EC" w:rsidP="000268EC">
      <w:pPr>
        <w:jc w:val="both"/>
      </w:pPr>
      <w:r w:rsidRPr="00871369">
        <w:t xml:space="preserve">Vous pouvez pré-alimenter votre </w:t>
      </w:r>
      <w:r w:rsidR="00327B1E" w:rsidRPr="00327B1E">
        <w:t xml:space="preserve">rapport social unique </w:t>
      </w:r>
      <w:r w:rsidRPr="00871369">
        <w:t>grâce aux données que vous avez déjà saisi</w:t>
      </w:r>
      <w:r w:rsidR="00F83B39">
        <w:t>es</w:t>
      </w:r>
      <w:r w:rsidRPr="00871369">
        <w:t xml:space="preserve"> dans votre déclaration annuelle des données sociales unifiées 20</w:t>
      </w:r>
      <w:r w:rsidR="00327B1E">
        <w:t>2</w:t>
      </w:r>
      <w:r w:rsidR="00635115">
        <w:t>1</w:t>
      </w:r>
      <w:r w:rsidRPr="00871369">
        <w:t xml:space="preserve"> (Norme 4DS</w:t>
      </w:r>
      <w:r w:rsidR="00635115">
        <w:t xml:space="preserve"> </w:t>
      </w:r>
      <w:r w:rsidR="00635115" w:rsidRPr="00D444A2">
        <w:t>ou vos 12 DSN</w:t>
      </w:r>
      <w:r w:rsidRPr="00871369">
        <w:t>) via le site net-entreprises.fr. L’utilisation de cet import permet un pré-remplissage des données relatives aux effectifs, aux mouvements et à la rémunération. Il permet notamment le calcul automatique de l’équivalent temps plein rémunéré.</w:t>
      </w:r>
    </w:p>
    <w:p w14:paraId="1ECA74D3" w14:textId="77777777" w:rsidR="00B0051F" w:rsidRDefault="00B0051F" w:rsidP="000268EC">
      <w:pPr>
        <w:jc w:val="both"/>
      </w:pPr>
    </w:p>
    <w:p w14:paraId="57F07EBE" w14:textId="0DF4A411" w:rsidR="006F1565" w:rsidRPr="009A1846" w:rsidRDefault="006F1565" w:rsidP="006F1565">
      <w:pPr>
        <w:jc w:val="both"/>
        <w:rPr>
          <w:b/>
          <w:color w:val="00B0F0"/>
        </w:rPr>
      </w:pPr>
      <w:r w:rsidRPr="009A1846">
        <w:rPr>
          <w:b/>
          <w:color w:val="00B0F0"/>
        </w:rPr>
        <w:t>Comment sont traitées les données transmises dans la Norme 4DS (DADSU) </w:t>
      </w:r>
      <w:r w:rsidR="00635115">
        <w:rPr>
          <w:b/>
          <w:color w:val="00B0F0"/>
        </w:rPr>
        <w:t>ou DSN</w:t>
      </w:r>
      <w:r w:rsidR="00635115" w:rsidRPr="009A1846">
        <w:rPr>
          <w:b/>
          <w:color w:val="00B0F0"/>
        </w:rPr>
        <w:t> </w:t>
      </w:r>
      <w:r w:rsidRPr="009A1846">
        <w:rPr>
          <w:b/>
          <w:color w:val="00B0F0"/>
        </w:rPr>
        <w:t>?</w:t>
      </w:r>
    </w:p>
    <w:p w14:paraId="403B32CA" w14:textId="3CB0DC99" w:rsidR="006F1565" w:rsidRDefault="0069454B" w:rsidP="006F1565">
      <w:pPr>
        <w:jc w:val="both"/>
      </w:pPr>
      <w:r>
        <w:t>Les</w:t>
      </w:r>
      <w:r w:rsidR="00F83B39">
        <w:t xml:space="preserve"> données</w:t>
      </w:r>
      <w:r>
        <w:t xml:space="preserve"> sont extraites</w:t>
      </w:r>
      <w:r w:rsidR="006F1565" w:rsidRPr="00871369">
        <w:t xml:space="preserve"> de la Norme 4DS. </w:t>
      </w:r>
      <w:r>
        <w:t xml:space="preserve">Le fichier issu de la Norme </w:t>
      </w:r>
      <w:r w:rsidR="00F83B39" w:rsidRPr="00F83B39">
        <w:t xml:space="preserve">4DS sera purgé de toutes ses données sensibles </w:t>
      </w:r>
      <w:r w:rsidR="00D7446A">
        <w:t>avant</w:t>
      </w:r>
      <w:r w:rsidR="003659AC">
        <w:t xml:space="preserve"> d’être transmis sur l’application</w:t>
      </w:r>
      <w:r w:rsidR="00F83B39" w:rsidRPr="00F83B39">
        <w:t>.</w:t>
      </w:r>
      <w:r w:rsidR="00635115">
        <w:t xml:space="preserve"> Processus identique pour les collectivités effectuant un import des 12 DSN de l’année 2021.</w:t>
      </w:r>
    </w:p>
    <w:p w14:paraId="3A183B36" w14:textId="77777777" w:rsidR="0004196A" w:rsidRPr="00871369" w:rsidRDefault="0004196A" w:rsidP="006F1565">
      <w:pPr>
        <w:jc w:val="both"/>
      </w:pPr>
    </w:p>
    <w:p w14:paraId="4EA45990" w14:textId="77777777" w:rsidR="006F1565" w:rsidRPr="009A1846" w:rsidRDefault="006F1565" w:rsidP="006F1565">
      <w:pPr>
        <w:jc w:val="both"/>
        <w:rPr>
          <w:rFonts w:cs="Arial"/>
          <w:b/>
          <w:color w:val="00B0F0"/>
          <w:szCs w:val="24"/>
        </w:rPr>
      </w:pPr>
      <w:r w:rsidRPr="009A1846">
        <w:rPr>
          <w:rFonts w:cs="Arial"/>
          <w:b/>
          <w:color w:val="00B0F0"/>
          <w:szCs w:val="24"/>
        </w:rPr>
        <w:t xml:space="preserve">Peut-on travailler simultanément à plusieurs personnes de la même collectivité sur l’application </w:t>
      </w:r>
      <w:r w:rsidR="008118AE">
        <w:rPr>
          <w:rFonts w:cs="Arial"/>
          <w:b/>
          <w:color w:val="00B0F0"/>
          <w:szCs w:val="24"/>
        </w:rPr>
        <w:t>« </w:t>
      </w:r>
      <w:r w:rsidRPr="009A1846">
        <w:rPr>
          <w:rFonts w:cs="Arial"/>
          <w:b/>
          <w:color w:val="00B0F0"/>
          <w:szCs w:val="24"/>
        </w:rPr>
        <w:t>données sociale</w:t>
      </w:r>
      <w:r w:rsidR="008118AE">
        <w:rPr>
          <w:rFonts w:cs="Arial"/>
          <w:b/>
          <w:color w:val="00B0F0"/>
          <w:szCs w:val="24"/>
        </w:rPr>
        <w:t>s »</w:t>
      </w:r>
      <w:r w:rsidRPr="009A1846">
        <w:rPr>
          <w:rFonts w:cs="Arial"/>
          <w:b/>
          <w:color w:val="00B0F0"/>
          <w:szCs w:val="24"/>
        </w:rPr>
        <w:t xml:space="preserve"> ? </w:t>
      </w:r>
    </w:p>
    <w:p w14:paraId="120CC614" w14:textId="7249CA07" w:rsidR="006F1565" w:rsidRPr="00871369" w:rsidRDefault="006F1565" w:rsidP="006F1565">
      <w:pPr>
        <w:jc w:val="both"/>
      </w:pPr>
      <w:r w:rsidRPr="00871369">
        <w:t xml:space="preserve">Il est fortement déconseillé de travailler à plusieurs </w:t>
      </w:r>
      <w:r w:rsidRPr="00871369">
        <w:rPr>
          <w:b/>
        </w:rPr>
        <w:t>en même temps</w:t>
      </w:r>
      <w:r w:rsidR="00D75DFB">
        <w:t xml:space="preserve"> sur l’application web </w:t>
      </w:r>
      <w:r w:rsidR="00327B1E">
        <w:t xml:space="preserve">Données </w:t>
      </w:r>
      <w:r w:rsidRPr="00871369">
        <w:t>social</w:t>
      </w:r>
      <w:r w:rsidR="00327B1E">
        <w:t>es</w:t>
      </w:r>
      <w:r w:rsidRPr="00871369">
        <w:t xml:space="preserve">, dans la mesure où l’application enregistrera les modifications de la dernière personne connectée. Vous pouvez bien entendu travailler à plusieurs sur l’outil mais pas de </w:t>
      </w:r>
      <w:r w:rsidR="00D75DFB">
        <w:t>manière simultanée.</w:t>
      </w:r>
    </w:p>
    <w:p w14:paraId="0F179BCD" w14:textId="77777777" w:rsidR="006F1565" w:rsidRPr="00871369" w:rsidRDefault="006F1565" w:rsidP="006F1565">
      <w:pPr>
        <w:jc w:val="both"/>
      </w:pPr>
    </w:p>
    <w:p w14:paraId="17C0B33C" w14:textId="77777777" w:rsidR="006F1565" w:rsidRPr="009A1846" w:rsidRDefault="006F1565" w:rsidP="006F1565">
      <w:pPr>
        <w:jc w:val="both"/>
        <w:rPr>
          <w:color w:val="00B0F0"/>
        </w:rPr>
      </w:pPr>
      <w:r w:rsidRPr="009A1846">
        <w:rPr>
          <w:b/>
          <w:color w:val="00B0F0"/>
        </w:rPr>
        <w:t xml:space="preserve">Qu’est-ce que le module de saisie « agent par agent » ? </w:t>
      </w:r>
    </w:p>
    <w:p w14:paraId="56A8BB45" w14:textId="77777777" w:rsidR="00D75DFB" w:rsidRDefault="00D75DFB" w:rsidP="006F1565">
      <w:pPr>
        <w:jc w:val="both"/>
      </w:pPr>
      <w:r>
        <w:t xml:space="preserve">Il s’agit </w:t>
      </w:r>
      <w:r w:rsidR="006F1565" w:rsidRPr="00871369">
        <w:t>d’une approche individuelle permettant de renseigner les informations en s’appuyant sur les dossiers de chaque agent. Le nombre de champs à saisir a été réduit au maximum et des liens logiques ont été créés en</w:t>
      </w:r>
      <w:r>
        <w:t>tre les différents indicateurs.</w:t>
      </w:r>
    </w:p>
    <w:p w14:paraId="222521EE" w14:textId="49E5B810" w:rsidR="006F1565" w:rsidRPr="00871369" w:rsidRDefault="006F1565" w:rsidP="006F1565">
      <w:pPr>
        <w:jc w:val="both"/>
      </w:pPr>
      <w:r w:rsidRPr="00871369">
        <w:t xml:space="preserve">Ce mode de saisie est notamment plus fiable si la collectivité ne dispose pas d’un </w:t>
      </w:r>
      <w:r w:rsidR="00D75DFB">
        <w:t>système d’information et de gestion des ressources h</w:t>
      </w:r>
      <w:r w:rsidR="0051091E">
        <w:t>umaines (</w:t>
      </w:r>
      <w:r w:rsidRPr="00871369">
        <w:t>SIRH</w:t>
      </w:r>
      <w:r w:rsidR="0051091E">
        <w:t>)</w:t>
      </w:r>
      <w:r w:rsidRPr="00871369">
        <w:t xml:space="preserve"> permettant de sortir, via des requêtes, des données collectives. Une fois la saisie finalisée, les données vont alimenter le fichier agrégé de votre </w:t>
      </w:r>
      <w:r w:rsidR="00805225" w:rsidRPr="00805225">
        <w:t>rapport social unique</w:t>
      </w:r>
      <w:r w:rsidR="00EB2714">
        <w:t>, ce qui</w:t>
      </w:r>
      <w:r w:rsidRPr="00871369">
        <w:t xml:space="preserve"> permet une restitution synthétique des principaux indicateurs.</w:t>
      </w:r>
    </w:p>
    <w:p w14:paraId="05937577" w14:textId="77777777" w:rsidR="009279C3" w:rsidRPr="00871369" w:rsidRDefault="009279C3" w:rsidP="006F1565">
      <w:pPr>
        <w:jc w:val="both"/>
      </w:pPr>
      <w:r w:rsidRPr="00871369">
        <w:t>L’utilisation du questi</w:t>
      </w:r>
      <w:r w:rsidR="00D24AF6">
        <w:t xml:space="preserve">onnaire agent par agent est </w:t>
      </w:r>
      <w:r w:rsidRPr="00871369">
        <w:t>simple et ergonomique</w:t>
      </w:r>
      <w:r w:rsidR="00D24AF6">
        <w:t>. Il</w:t>
      </w:r>
      <w:r w:rsidRPr="00871369">
        <w:t xml:space="preserve"> limite le nombre de questions et les erreurs de saisie</w:t>
      </w:r>
      <w:r w:rsidR="00BD6B1C" w:rsidRPr="00871369">
        <w:t>.</w:t>
      </w:r>
    </w:p>
    <w:p w14:paraId="050E0D15" w14:textId="77777777" w:rsidR="006F1565" w:rsidRPr="00871369" w:rsidRDefault="006F1565" w:rsidP="006F1565">
      <w:pPr>
        <w:jc w:val="both"/>
      </w:pPr>
    </w:p>
    <w:p w14:paraId="0718909C" w14:textId="77777777" w:rsidR="00BD6B1C" w:rsidRPr="009A1846" w:rsidRDefault="00BD6B1C" w:rsidP="00BD6B1C">
      <w:pPr>
        <w:jc w:val="both"/>
        <w:rPr>
          <w:b/>
          <w:color w:val="00B0F0"/>
        </w:rPr>
      </w:pPr>
      <w:r w:rsidRPr="009A1846">
        <w:rPr>
          <w:b/>
          <w:color w:val="00B0F0"/>
        </w:rPr>
        <w:t>Qu’est-ce que le module consolidé ?</w:t>
      </w:r>
    </w:p>
    <w:p w14:paraId="54706A11" w14:textId="77777777" w:rsidR="00BD6B1C" w:rsidRPr="00871369" w:rsidRDefault="00BD6B1C" w:rsidP="00BD6B1C">
      <w:pPr>
        <w:jc w:val="both"/>
      </w:pPr>
      <w:r w:rsidRPr="00871369">
        <w:t xml:space="preserve">Ce questionnaire vous permet de saisir les données </w:t>
      </w:r>
      <w:r w:rsidR="00D24AF6">
        <w:t>de façon agrégée par indicateur</w:t>
      </w:r>
      <w:r w:rsidRPr="00871369">
        <w:t>. Les indicateurs sont regroupés par grands chapitres relatifs aux effectifs, au temps de travail, aux rémunérations, aux conditions de travail – hygiène et sécurité, à la formation et aux droits sociaux. Il correspond au format demandé par la Direction Générale des Collectivités Locales.</w:t>
      </w:r>
    </w:p>
    <w:p w14:paraId="77A1ED42" w14:textId="77777777" w:rsidR="00D24AF6" w:rsidRDefault="00BD6B1C" w:rsidP="00BD6B1C">
      <w:pPr>
        <w:jc w:val="both"/>
      </w:pPr>
      <w:r w:rsidRPr="00871369">
        <w:lastRenderedPageBreak/>
        <w:t xml:space="preserve">Il s’agit d’une approche globale permettant de renseigner les informations en s’appuyant sur des données collectives. Cette disposition limite le nombre de questions (vous ne saisissez les informations qu'une seule fois) et limite au maximum les erreurs de saisie. </w:t>
      </w:r>
    </w:p>
    <w:p w14:paraId="1A17EA13" w14:textId="77777777" w:rsidR="00BD6B1C" w:rsidRPr="00871369" w:rsidRDefault="00BD6B1C" w:rsidP="00BD6B1C">
      <w:pPr>
        <w:jc w:val="both"/>
      </w:pPr>
      <w:r w:rsidRPr="00871369">
        <w:t>Par ailleurs, l'ergonomie de ce questionnaire a été optimisée pour vous faire gagner du temps et rendre la saisie plus intuitive.</w:t>
      </w:r>
      <w:r w:rsidR="00D24AF6">
        <w:t xml:space="preserve"> </w:t>
      </w:r>
      <w:r w:rsidRPr="00871369">
        <w:t xml:space="preserve">Ce mode de saisie est probablement plus fiable si la collectivité dispose d’un </w:t>
      </w:r>
      <w:r w:rsidR="00D24AF6">
        <w:t>système d’information et de gestion des ressources humaines (</w:t>
      </w:r>
      <w:r w:rsidR="00D24AF6" w:rsidRPr="00871369">
        <w:t>SIRH</w:t>
      </w:r>
      <w:r w:rsidR="00D24AF6">
        <w:t>)</w:t>
      </w:r>
      <w:r w:rsidRPr="00871369">
        <w:t xml:space="preserve"> permettant de sortir, via des requêtes, des données collectives.</w:t>
      </w:r>
    </w:p>
    <w:p w14:paraId="227BA05D" w14:textId="39A760B6" w:rsidR="003659AC" w:rsidRDefault="00BD6B1C" w:rsidP="00BD6B1C">
      <w:pPr>
        <w:jc w:val="both"/>
      </w:pPr>
      <w:r w:rsidRPr="00871369">
        <w:t>Une partie des données peut être renseignée automatiquement via la N4DS</w:t>
      </w:r>
      <w:r w:rsidR="005C04F2">
        <w:t xml:space="preserve"> </w:t>
      </w:r>
      <w:r w:rsidR="005C04F2" w:rsidRPr="00D444A2">
        <w:t>ou l’import DSN.</w:t>
      </w:r>
    </w:p>
    <w:p w14:paraId="7BC3D1DE" w14:textId="77777777" w:rsidR="00BD6B1C" w:rsidRPr="00871369" w:rsidRDefault="00BD6B1C" w:rsidP="006F1565">
      <w:pPr>
        <w:jc w:val="both"/>
      </w:pPr>
    </w:p>
    <w:p w14:paraId="225739CC" w14:textId="77777777" w:rsidR="00DB47E5" w:rsidRPr="009A1846" w:rsidRDefault="00DB47E5" w:rsidP="00DB47E5">
      <w:pPr>
        <w:jc w:val="both"/>
        <w:rPr>
          <w:rFonts w:cs="Arial"/>
          <w:b/>
          <w:color w:val="00B0F0"/>
          <w:szCs w:val="24"/>
        </w:rPr>
      </w:pPr>
      <w:r w:rsidRPr="0038584E">
        <w:rPr>
          <w:rFonts w:cs="Arial"/>
          <w:b/>
          <w:color w:val="00B0F0"/>
          <w:szCs w:val="24"/>
        </w:rPr>
        <w:t>Est-ce que je peux changer de mode de saisie en cours de saisie ?</w:t>
      </w:r>
    </w:p>
    <w:p w14:paraId="0750FC3D" w14:textId="77777777" w:rsidR="00DB47E5" w:rsidRPr="00871369" w:rsidRDefault="00DB47E5" w:rsidP="00DB47E5">
      <w:pPr>
        <w:jc w:val="both"/>
        <w:rPr>
          <w:rFonts w:cs="Arial"/>
          <w:szCs w:val="24"/>
        </w:rPr>
      </w:pPr>
      <w:r w:rsidRPr="00871369">
        <w:rPr>
          <w:rFonts w:cs="Arial"/>
          <w:szCs w:val="24"/>
        </w:rPr>
        <w:t>Vous pouvez passer du mode « agent par agent » au mode « consolidé » à tout moment.</w:t>
      </w:r>
    </w:p>
    <w:p w14:paraId="48E95B52" w14:textId="77777777" w:rsidR="004D080A" w:rsidRPr="00871369" w:rsidRDefault="00DB47E5" w:rsidP="00DB47E5">
      <w:pPr>
        <w:jc w:val="both"/>
        <w:rPr>
          <w:rFonts w:cs="Arial"/>
          <w:szCs w:val="24"/>
        </w:rPr>
      </w:pPr>
      <w:proofErr w:type="gramStart"/>
      <w:r w:rsidRPr="00871369">
        <w:rPr>
          <w:rFonts w:cs="Arial"/>
          <w:szCs w:val="24"/>
        </w:rPr>
        <w:t>Par contre</w:t>
      </w:r>
      <w:proofErr w:type="gramEnd"/>
      <w:r w:rsidRPr="00871369">
        <w:rPr>
          <w:rFonts w:cs="Arial"/>
          <w:szCs w:val="24"/>
        </w:rPr>
        <w:t xml:space="preserve">, si vous êtes en mode « consolidé » et que vous souhaitez revenir au mode « agent par agent », </w:t>
      </w:r>
      <w:r w:rsidR="002C69FD">
        <w:rPr>
          <w:rFonts w:cs="Arial"/>
          <w:szCs w:val="24"/>
        </w:rPr>
        <w:t>trois</w:t>
      </w:r>
      <w:r w:rsidRPr="00871369">
        <w:rPr>
          <w:rFonts w:cs="Arial"/>
          <w:szCs w:val="24"/>
        </w:rPr>
        <w:t xml:space="preserve"> cas de figure se présentent : </w:t>
      </w:r>
    </w:p>
    <w:p w14:paraId="3B61243E" w14:textId="77777777" w:rsidR="00E23771" w:rsidRDefault="00E23771" w:rsidP="004404A0">
      <w:pPr>
        <w:pStyle w:val="Paragraphedeliste"/>
        <w:numPr>
          <w:ilvl w:val="0"/>
          <w:numId w:val="1"/>
        </w:numPr>
        <w:jc w:val="both"/>
        <w:rPr>
          <w:rFonts w:cs="Arial"/>
          <w:szCs w:val="24"/>
        </w:rPr>
      </w:pPr>
      <w:r>
        <w:rPr>
          <w:rFonts w:cs="Arial"/>
          <w:szCs w:val="24"/>
        </w:rPr>
        <w:t>Si vous n’avez modifié aucune donnée en « consolidé », vous pouvez repasser en agent par agent ;</w:t>
      </w:r>
    </w:p>
    <w:p w14:paraId="18B834FE" w14:textId="77777777" w:rsidR="00E23771" w:rsidRPr="004D080A" w:rsidRDefault="00DB47E5" w:rsidP="004D080A">
      <w:pPr>
        <w:pStyle w:val="Paragraphedeliste"/>
        <w:numPr>
          <w:ilvl w:val="0"/>
          <w:numId w:val="1"/>
        </w:numPr>
        <w:jc w:val="both"/>
        <w:rPr>
          <w:rFonts w:cs="Arial"/>
          <w:szCs w:val="24"/>
        </w:rPr>
      </w:pPr>
      <w:r w:rsidRPr="00871369">
        <w:rPr>
          <w:rFonts w:cs="Arial"/>
          <w:szCs w:val="24"/>
        </w:rPr>
        <w:t>Si vous aviez commencé à</w:t>
      </w:r>
      <w:r w:rsidR="00E23771">
        <w:rPr>
          <w:rFonts w:cs="Arial"/>
          <w:szCs w:val="24"/>
        </w:rPr>
        <w:t xml:space="preserve"> saisir en « agent par agent » et que vous avez modifié des données en « consolidé »</w:t>
      </w:r>
      <w:r w:rsidR="004D080A">
        <w:rPr>
          <w:rFonts w:cs="Arial"/>
          <w:szCs w:val="24"/>
        </w:rPr>
        <w:t>, vous devez contacter votre centre de gestion afin de repasser en « agent par agent ». Toutes les données saisies en « consolidé » seront alors perdues.</w:t>
      </w:r>
    </w:p>
    <w:p w14:paraId="6DD5BF46" w14:textId="77777777" w:rsidR="00DB47E5" w:rsidRPr="00871369" w:rsidRDefault="00DB47E5" w:rsidP="004404A0">
      <w:pPr>
        <w:pStyle w:val="Paragraphedeliste"/>
        <w:numPr>
          <w:ilvl w:val="0"/>
          <w:numId w:val="1"/>
        </w:numPr>
        <w:jc w:val="both"/>
        <w:rPr>
          <w:rFonts w:cs="Arial"/>
          <w:szCs w:val="24"/>
        </w:rPr>
      </w:pPr>
      <w:r w:rsidRPr="00871369">
        <w:rPr>
          <w:rFonts w:cs="Arial"/>
          <w:szCs w:val="24"/>
        </w:rPr>
        <w:t>Si vous aviez comm</w:t>
      </w:r>
      <w:r w:rsidR="00C27BD3">
        <w:rPr>
          <w:rFonts w:cs="Arial"/>
          <w:szCs w:val="24"/>
        </w:rPr>
        <w:t>encé à saisir en « consolidé » et que vous réinitialisez la saisie pour passer en mode « agent par agent »</w:t>
      </w:r>
      <w:r w:rsidR="00A741FA">
        <w:rPr>
          <w:rFonts w:cs="Arial"/>
          <w:szCs w:val="24"/>
        </w:rPr>
        <w:t>,</w:t>
      </w:r>
      <w:r w:rsidR="00C27BD3">
        <w:rPr>
          <w:rFonts w:cs="Arial"/>
          <w:szCs w:val="24"/>
        </w:rPr>
        <w:t xml:space="preserve"> </w:t>
      </w:r>
      <w:r w:rsidRPr="00871369">
        <w:rPr>
          <w:rFonts w:cs="Arial"/>
          <w:szCs w:val="24"/>
        </w:rPr>
        <w:t>vous trouverez un questionnaire vierge, c’est-à-dire que vous perdrez votre saisie en « consolidé ».</w:t>
      </w:r>
    </w:p>
    <w:p w14:paraId="3C17D9D0" w14:textId="77777777" w:rsidR="00DB47E5" w:rsidRPr="00871369" w:rsidRDefault="00DB47E5" w:rsidP="006F1565">
      <w:pPr>
        <w:jc w:val="both"/>
      </w:pPr>
    </w:p>
    <w:p w14:paraId="7A0BE44A" w14:textId="3F45A921" w:rsidR="00007A16" w:rsidRPr="009A1846" w:rsidRDefault="00007A16" w:rsidP="00007A16">
      <w:pPr>
        <w:overflowPunct/>
        <w:autoSpaceDE/>
        <w:autoSpaceDN/>
        <w:adjustRightInd/>
        <w:textAlignment w:val="auto"/>
        <w:rPr>
          <w:rFonts w:cs="Arial"/>
          <w:b/>
          <w:color w:val="00B0F0"/>
          <w:szCs w:val="24"/>
        </w:rPr>
      </w:pPr>
      <w:r w:rsidRPr="009A1846">
        <w:rPr>
          <w:rFonts w:cs="Arial"/>
          <w:b/>
          <w:color w:val="00B0F0"/>
          <w:szCs w:val="24"/>
        </w:rPr>
        <w:t xml:space="preserve">Quels sont les éléments chiffrés à préparer pour la saisie du </w:t>
      </w:r>
      <w:r w:rsidR="00327B1E" w:rsidRPr="00327B1E">
        <w:rPr>
          <w:rFonts w:cs="Arial"/>
          <w:b/>
          <w:color w:val="00B0F0"/>
          <w:szCs w:val="24"/>
        </w:rPr>
        <w:t>rapport social unique</w:t>
      </w:r>
      <w:r w:rsidR="00327B1E">
        <w:rPr>
          <w:rFonts w:cs="Arial"/>
          <w:b/>
          <w:color w:val="00B0F0"/>
          <w:szCs w:val="24"/>
        </w:rPr>
        <w:t xml:space="preserve"> </w:t>
      </w:r>
      <w:r w:rsidRPr="009A1846">
        <w:rPr>
          <w:rFonts w:cs="Arial"/>
          <w:b/>
          <w:color w:val="00B0F0"/>
          <w:szCs w:val="24"/>
        </w:rPr>
        <w:t>?</w:t>
      </w:r>
    </w:p>
    <w:p w14:paraId="3541E205" w14:textId="7AC0DE1F" w:rsidR="00007A16" w:rsidRPr="00871369" w:rsidRDefault="001D771B" w:rsidP="00CF06B6">
      <w:pPr>
        <w:overflowPunct/>
        <w:autoSpaceDE/>
        <w:autoSpaceDN/>
        <w:adjustRightInd/>
        <w:spacing w:after="120"/>
        <w:textAlignment w:val="auto"/>
        <w:rPr>
          <w:rFonts w:cs="Arial"/>
          <w:szCs w:val="24"/>
        </w:rPr>
      </w:pPr>
      <w:r>
        <w:rPr>
          <w:rFonts w:cs="Arial"/>
          <w:szCs w:val="24"/>
        </w:rPr>
        <w:t xml:space="preserve">Afin de compléter </w:t>
      </w:r>
      <w:r w:rsidR="00327B1E" w:rsidRPr="00327B1E">
        <w:rPr>
          <w:rFonts w:cs="Arial"/>
          <w:szCs w:val="24"/>
        </w:rPr>
        <w:t xml:space="preserve">rapport social unique </w:t>
      </w:r>
      <w:r w:rsidR="00007A16" w:rsidRPr="00871369">
        <w:rPr>
          <w:rFonts w:cs="Arial"/>
          <w:szCs w:val="24"/>
        </w:rPr>
        <w:t>le plus efficacement possible, il vous est conseillé de préparer en amont les différents éléments nécessaires au remplissage.</w:t>
      </w:r>
    </w:p>
    <w:p w14:paraId="3B88AC77" w14:textId="77777777" w:rsidR="00007A16" w:rsidRPr="0038584E" w:rsidRDefault="00007A16" w:rsidP="004404A0">
      <w:pPr>
        <w:pStyle w:val="Paragraphedeliste"/>
        <w:numPr>
          <w:ilvl w:val="0"/>
          <w:numId w:val="14"/>
        </w:numPr>
        <w:overflowPunct/>
        <w:autoSpaceDE/>
        <w:autoSpaceDN/>
        <w:adjustRightInd/>
        <w:spacing w:after="120"/>
        <w:ind w:left="426" w:hanging="426"/>
        <w:contextualSpacing w:val="0"/>
        <w:textAlignment w:val="auto"/>
        <w:rPr>
          <w:rFonts w:cs="Arial"/>
          <w:szCs w:val="24"/>
        </w:rPr>
      </w:pPr>
      <w:r w:rsidRPr="0038584E">
        <w:rPr>
          <w:rFonts w:cs="Arial"/>
          <w:szCs w:val="24"/>
        </w:rPr>
        <w:t>Pour la partie « Informations relatives à la collectivité » :</w:t>
      </w:r>
    </w:p>
    <w:p w14:paraId="054D121F" w14:textId="77777777" w:rsidR="00007A16" w:rsidRPr="007404BA" w:rsidRDefault="00007A16" w:rsidP="004404A0">
      <w:pPr>
        <w:pStyle w:val="Paragraphedeliste"/>
        <w:numPr>
          <w:ilvl w:val="0"/>
          <w:numId w:val="15"/>
        </w:numPr>
        <w:overflowPunct/>
        <w:autoSpaceDE/>
        <w:autoSpaceDN/>
        <w:adjustRightInd/>
        <w:textAlignment w:val="auto"/>
        <w:rPr>
          <w:rFonts w:cs="Arial"/>
          <w:szCs w:val="24"/>
        </w:rPr>
      </w:pPr>
      <w:r w:rsidRPr="007404BA">
        <w:rPr>
          <w:rFonts w:cs="Arial"/>
          <w:szCs w:val="24"/>
        </w:rPr>
        <w:t>Les coordonnées de l’agent ou des agents chargés de renseigner l’enquête</w:t>
      </w:r>
    </w:p>
    <w:p w14:paraId="78BCEE46" w14:textId="77777777" w:rsidR="00007A16" w:rsidRPr="007404BA" w:rsidRDefault="00007A16" w:rsidP="004404A0">
      <w:pPr>
        <w:pStyle w:val="Paragraphedeliste"/>
        <w:numPr>
          <w:ilvl w:val="0"/>
          <w:numId w:val="15"/>
        </w:numPr>
        <w:overflowPunct/>
        <w:autoSpaceDE/>
        <w:autoSpaceDN/>
        <w:adjustRightInd/>
        <w:textAlignment w:val="auto"/>
        <w:rPr>
          <w:rFonts w:cs="Arial"/>
          <w:szCs w:val="24"/>
        </w:rPr>
      </w:pPr>
      <w:r w:rsidRPr="007404BA">
        <w:rPr>
          <w:rFonts w:cs="Arial"/>
          <w:szCs w:val="24"/>
        </w:rPr>
        <w:t>Le numéro de SIRET</w:t>
      </w:r>
    </w:p>
    <w:p w14:paraId="030DEA6B" w14:textId="77777777" w:rsidR="00BD1246" w:rsidRPr="0038584E" w:rsidRDefault="00007A16" w:rsidP="004404A0">
      <w:pPr>
        <w:pStyle w:val="Paragraphedeliste"/>
        <w:numPr>
          <w:ilvl w:val="0"/>
          <w:numId w:val="15"/>
        </w:numPr>
        <w:overflowPunct/>
        <w:autoSpaceDE/>
        <w:autoSpaceDN/>
        <w:adjustRightInd/>
        <w:ind w:left="709" w:hanging="357"/>
        <w:contextualSpacing w:val="0"/>
        <w:jc w:val="both"/>
        <w:textAlignment w:val="auto"/>
        <w:rPr>
          <w:rFonts w:cs="Arial"/>
          <w:szCs w:val="24"/>
        </w:rPr>
      </w:pPr>
      <w:r w:rsidRPr="00484708">
        <w:rPr>
          <w:rFonts w:cs="Arial"/>
          <w:szCs w:val="24"/>
        </w:rPr>
        <w:t>La strate de sur-classement démographique le cas échéant</w:t>
      </w:r>
      <w:r w:rsidR="00BD1246" w:rsidRPr="00484708">
        <w:rPr>
          <w:rFonts w:cs="Arial"/>
          <w:szCs w:val="24"/>
        </w:rPr>
        <w:t>,</w:t>
      </w:r>
      <w:r w:rsidR="00484708">
        <w:rPr>
          <w:rFonts w:cs="Arial"/>
          <w:szCs w:val="24"/>
        </w:rPr>
        <w:t xml:space="preserve"> </w:t>
      </w:r>
      <w:r w:rsidR="00BD1246" w:rsidRPr="00484708">
        <w:rPr>
          <w:rFonts w:cs="Arial"/>
          <w:szCs w:val="24"/>
        </w:rPr>
        <w:t>par référence à l’article 88 de la loi n° 84-53 du 26 janvier 1984 portant dispositions statutaires relatives à la fonction publique territoriale</w:t>
      </w:r>
      <w:r w:rsidR="00484708">
        <w:rPr>
          <w:rFonts w:cs="Arial"/>
          <w:szCs w:val="24"/>
        </w:rPr>
        <w:t>,</w:t>
      </w:r>
      <w:r w:rsidR="00BD1246" w:rsidRPr="00484708">
        <w:rPr>
          <w:rFonts w:cs="Arial"/>
          <w:szCs w:val="24"/>
        </w:rPr>
        <w:t xml:space="preserve"> </w:t>
      </w:r>
      <w:r w:rsidR="00484708" w:rsidRPr="00484708">
        <w:rPr>
          <w:rFonts w:cs="Arial"/>
          <w:szCs w:val="24"/>
        </w:rPr>
        <w:t>pour les c</w:t>
      </w:r>
      <w:r w:rsidR="00BD1246" w:rsidRPr="00484708">
        <w:t>ommune</w:t>
      </w:r>
      <w:r w:rsidR="00484708" w:rsidRPr="00484708">
        <w:t>s</w:t>
      </w:r>
      <w:r w:rsidR="00BD1246" w:rsidRPr="00484708">
        <w:t xml:space="preserve"> classée</w:t>
      </w:r>
      <w:r w:rsidR="00484708" w:rsidRPr="00484708">
        <w:t>s</w:t>
      </w:r>
      <w:r w:rsidR="00BD1246" w:rsidRPr="00484708">
        <w:t xml:space="preserve"> station de tourisme </w:t>
      </w:r>
      <w:r w:rsidR="00484708" w:rsidRPr="00484708">
        <w:t>et les c</w:t>
      </w:r>
      <w:r w:rsidR="00BD1246" w:rsidRPr="00484708">
        <w:t>ommune</w:t>
      </w:r>
      <w:r w:rsidR="00484708" w:rsidRPr="00484708">
        <w:t xml:space="preserve">s </w:t>
      </w:r>
      <w:r w:rsidR="00BD1246" w:rsidRPr="00484708">
        <w:t>ou établissement</w:t>
      </w:r>
      <w:r w:rsidR="00484708" w:rsidRPr="00484708">
        <w:t>s</w:t>
      </w:r>
      <w:r w:rsidR="00BD1246" w:rsidRPr="00484708">
        <w:t xml:space="preserve"> public</w:t>
      </w:r>
      <w:r w:rsidR="00484708" w:rsidRPr="00484708">
        <w:t>s</w:t>
      </w:r>
      <w:r w:rsidR="00BD1246" w:rsidRPr="00484708">
        <w:t xml:space="preserve"> de coopération intercommunale </w:t>
      </w:r>
      <w:r w:rsidR="00484708" w:rsidRPr="00484708">
        <w:t xml:space="preserve">(EPCI) </w:t>
      </w:r>
      <w:r w:rsidR="00BD1246" w:rsidRPr="00484708">
        <w:t>compétent</w:t>
      </w:r>
      <w:r w:rsidR="00484708" w:rsidRPr="00484708">
        <w:t>s</w:t>
      </w:r>
      <w:r w:rsidR="00BD1246" w:rsidRPr="00484708">
        <w:t xml:space="preserve"> comportant au moins un quartier prioritaire de la politique de la ville</w:t>
      </w:r>
      <w:r w:rsidR="00484708" w:rsidRPr="00484708">
        <w:t>.</w:t>
      </w:r>
    </w:p>
    <w:p w14:paraId="47E6CF6E" w14:textId="77777777" w:rsidR="00007A16" w:rsidRPr="007404BA" w:rsidRDefault="00007A16" w:rsidP="004404A0">
      <w:pPr>
        <w:pStyle w:val="Paragraphedeliste"/>
        <w:numPr>
          <w:ilvl w:val="0"/>
          <w:numId w:val="15"/>
        </w:numPr>
        <w:overflowPunct/>
        <w:autoSpaceDE/>
        <w:autoSpaceDN/>
        <w:adjustRightInd/>
        <w:textAlignment w:val="auto"/>
        <w:rPr>
          <w:rFonts w:cs="Arial"/>
          <w:szCs w:val="24"/>
        </w:rPr>
      </w:pPr>
      <w:r w:rsidRPr="007404BA">
        <w:rPr>
          <w:rFonts w:cs="Arial"/>
          <w:szCs w:val="24"/>
        </w:rPr>
        <w:t>Les effectifs</w:t>
      </w:r>
    </w:p>
    <w:p w14:paraId="7CB09084" w14:textId="6560F7E3" w:rsidR="00007A16" w:rsidRPr="007404BA" w:rsidRDefault="00007A16" w:rsidP="004404A0">
      <w:pPr>
        <w:pStyle w:val="Paragraphedeliste"/>
        <w:numPr>
          <w:ilvl w:val="0"/>
          <w:numId w:val="12"/>
        </w:numPr>
        <w:overflowPunct/>
        <w:autoSpaceDE/>
        <w:autoSpaceDN/>
        <w:adjustRightInd/>
        <w:textAlignment w:val="auto"/>
        <w:rPr>
          <w:rFonts w:cs="Arial"/>
          <w:szCs w:val="24"/>
        </w:rPr>
      </w:pPr>
      <w:r w:rsidRPr="007404BA">
        <w:rPr>
          <w:rFonts w:cs="Arial"/>
          <w:szCs w:val="24"/>
        </w:rPr>
        <w:t>Les effectifs titulaires et contractuels sur emploi permanent au 31/12/20</w:t>
      </w:r>
      <w:r w:rsidR="00E025A8">
        <w:rPr>
          <w:rFonts w:cs="Arial"/>
          <w:szCs w:val="24"/>
        </w:rPr>
        <w:t>2</w:t>
      </w:r>
      <w:r w:rsidR="005C04F2">
        <w:rPr>
          <w:rFonts w:cs="Arial"/>
          <w:szCs w:val="24"/>
        </w:rPr>
        <w:t>1</w:t>
      </w:r>
    </w:p>
    <w:p w14:paraId="1CA51BD4" w14:textId="6BBD9268" w:rsidR="00007A16" w:rsidRPr="007404BA" w:rsidRDefault="00007A16" w:rsidP="004404A0">
      <w:pPr>
        <w:pStyle w:val="Paragraphedeliste"/>
        <w:numPr>
          <w:ilvl w:val="0"/>
          <w:numId w:val="12"/>
        </w:numPr>
        <w:overflowPunct/>
        <w:autoSpaceDE/>
        <w:autoSpaceDN/>
        <w:adjustRightInd/>
        <w:textAlignment w:val="auto"/>
        <w:rPr>
          <w:rFonts w:cs="Arial"/>
          <w:szCs w:val="24"/>
        </w:rPr>
      </w:pPr>
      <w:r w:rsidRPr="007404BA">
        <w:rPr>
          <w:rFonts w:cs="Arial"/>
          <w:szCs w:val="24"/>
        </w:rPr>
        <w:t xml:space="preserve">Le nombre d’arrivées et de départs </w:t>
      </w:r>
      <w:r w:rsidRPr="007404BA">
        <w:rPr>
          <w:rFonts w:cs="Arial"/>
          <w:b/>
          <w:szCs w:val="24"/>
        </w:rPr>
        <w:t>définitifs</w:t>
      </w:r>
      <w:r w:rsidR="00E025A8">
        <w:rPr>
          <w:rFonts w:cs="Arial"/>
          <w:szCs w:val="24"/>
        </w:rPr>
        <w:t xml:space="preserve"> en 202</w:t>
      </w:r>
      <w:r w:rsidR="005C04F2">
        <w:rPr>
          <w:rFonts w:cs="Arial"/>
          <w:szCs w:val="24"/>
        </w:rPr>
        <w:t>1</w:t>
      </w:r>
    </w:p>
    <w:p w14:paraId="052961DF" w14:textId="77777777" w:rsidR="00007A16" w:rsidRPr="007404BA" w:rsidRDefault="00007A16" w:rsidP="004404A0">
      <w:pPr>
        <w:pStyle w:val="Paragraphedeliste"/>
        <w:numPr>
          <w:ilvl w:val="0"/>
          <w:numId w:val="12"/>
        </w:numPr>
        <w:overflowPunct/>
        <w:autoSpaceDE/>
        <w:autoSpaceDN/>
        <w:adjustRightInd/>
        <w:textAlignment w:val="auto"/>
        <w:rPr>
          <w:rFonts w:cs="Arial"/>
          <w:szCs w:val="24"/>
        </w:rPr>
      </w:pPr>
      <w:r w:rsidRPr="007404BA">
        <w:rPr>
          <w:rFonts w:cs="Arial"/>
          <w:szCs w:val="24"/>
        </w:rPr>
        <w:t>Le nombre de titulaires à temps complet</w:t>
      </w:r>
    </w:p>
    <w:p w14:paraId="1F9C50ED" w14:textId="2AF5D382" w:rsidR="00007A16" w:rsidRPr="007404BA" w:rsidRDefault="00007A16" w:rsidP="004404A0">
      <w:pPr>
        <w:pStyle w:val="Paragraphedeliste"/>
        <w:numPr>
          <w:ilvl w:val="0"/>
          <w:numId w:val="12"/>
        </w:numPr>
        <w:overflowPunct/>
        <w:autoSpaceDE/>
        <w:autoSpaceDN/>
        <w:adjustRightInd/>
        <w:textAlignment w:val="auto"/>
        <w:rPr>
          <w:rFonts w:cs="Arial"/>
          <w:szCs w:val="24"/>
        </w:rPr>
      </w:pPr>
      <w:r w:rsidRPr="007404BA">
        <w:rPr>
          <w:rFonts w:cs="Arial"/>
          <w:szCs w:val="24"/>
        </w:rPr>
        <w:t>Le compte administratif 20</w:t>
      </w:r>
      <w:r w:rsidR="00E025A8">
        <w:rPr>
          <w:rFonts w:cs="Arial"/>
          <w:szCs w:val="24"/>
        </w:rPr>
        <w:t>2</w:t>
      </w:r>
      <w:r w:rsidR="005C04F2">
        <w:rPr>
          <w:rFonts w:cs="Arial"/>
          <w:szCs w:val="24"/>
        </w:rPr>
        <w:t>1</w:t>
      </w:r>
    </w:p>
    <w:p w14:paraId="4AD94E51" w14:textId="77777777" w:rsidR="00007A16" w:rsidRPr="00871369" w:rsidRDefault="00007A16" w:rsidP="004404A0">
      <w:pPr>
        <w:pStyle w:val="Paragraphedeliste"/>
        <w:numPr>
          <w:ilvl w:val="0"/>
          <w:numId w:val="15"/>
        </w:numPr>
        <w:overflowPunct/>
        <w:autoSpaceDE/>
        <w:autoSpaceDN/>
        <w:adjustRightInd/>
        <w:textAlignment w:val="auto"/>
        <w:rPr>
          <w:rFonts w:cs="Arial"/>
          <w:szCs w:val="24"/>
        </w:rPr>
      </w:pPr>
      <w:r w:rsidRPr="00871369">
        <w:rPr>
          <w:rFonts w:cs="Arial"/>
          <w:szCs w:val="24"/>
        </w:rPr>
        <w:t xml:space="preserve">Les dépenses de fonctionnement </w:t>
      </w:r>
    </w:p>
    <w:p w14:paraId="0D9E5870"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Les dépenses de personnel</w:t>
      </w:r>
    </w:p>
    <w:p w14:paraId="0EB38074"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La participation financière aux contrats de protection sociale complémentaire</w:t>
      </w:r>
    </w:p>
    <w:p w14:paraId="1753ABB9"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Le montant des rémunérations brutes annuelles, primes, NBI</w:t>
      </w:r>
    </w:p>
    <w:p w14:paraId="7FEF99EA"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Les marchés « handicap »</w:t>
      </w:r>
    </w:p>
    <w:p w14:paraId="25F0B1AD"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Les montants liés à la formation</w:t>
      </w:r>
    </w:p>
    <w:p w14:paraId="1DDD0381"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Les montants liés à la prévention</w:t>
      </w:r>
    </w:p>
    <w:p w14:paraId="42DC348B" w14:textId="77777777" w:rsidR="00007A16" w:rsidRPr="00871369" w:rsidRDefault="00007A16" w:rsidP="00007A16">
      <w:pPr>
        <w:overflowPunct/>
        <w:autoSpaceDE/>
        <w:autoSpaceDN/>
        <w:adjustRightInd/>
        <w:textAlignment w:val="auto"/>
        <w:rPr>
          <w:rFonts w:cs="Arial"/>
          <w:szCs w:val="24"/>
        </w:rPr>
      </w:pPr>
    </w:p>
    <w:p w14:paraId="14D899AE" w14:textId="77777777" w:rsidR="00007A16" w:rsidRPr="007404BA" w:rsidRDefault="00007A16" w:rsidP="004404A0">
      <w:pPr>
        <w:pStyle w:val="Paragraphedeliste"/>
        <w:numPr>
          <w:ilvl w:val="0"/>
          <w:numId w:val="14"/>
        </w:numPr>
        <w:overflowPunct/>
        <w:autoSpaceDE/>
        <w:autoSpaceDN/>
        <w:adjustRightInd/>
        <w:spacing w:after="120"/>
        <w:ind w:left="426" w:hanging="426"/>
        <w:contextualSpacing w:val="0"/>
        <w:textAlignment w:val="auto"/>
        <w:rPr>
          <w:rFonts w:cs="Arial"/>
          <w:szCs w:val="24"/>
        </w:rPr>
      </w:pPr>
      <w:r w:rsidRPr="007404BA">
        <w:rPr>
          <w:rFonts w:cs="Arial"/>
          <w:szCs w:val="24"/>
        </w:rPr>
        <w:t>Pour la partie « Informations relatives aux agents » :</w:t>
      </w:r>
    </w:p>
    <w:p w14:paraId="548C723D" w14:textId="77777777" w:rsidR="00007A16" w:rsidRPr="00871369" w:rsidRDefault="00007A16" w:rsidP="004404A0">
      <w:pPr>
        <w:pStyle w:val="Paragraphedeliste"/>
        <w:numPr>
          <w:ilvl w:val="0"/>
          <w:numId w:val="15"/>
        </w:numPr>
        <w:overflowPunct/>
        <w:autoSpaceDE/>
        <w:autoSpaceDN/>
        <w:adjustRightInd/>
        <w:textAlignment w:val="auto"/>
        <w:rPr>
          <w:rFonts w:cs="Arial"/>
          <w:szCs w:val="24"/>
        </w:rPr>
      </w:pPr>
      <w:r w:rsidRPr="00871369">
        <w:rPr>
          <w:rFonts w:cs="Arial"/>
          <w:szCs w:val="24"/>
        </w:rPr>
        <w:lastRenderedPageBreak/>
        <w:t>Civilité : nom, prénom, sexe, date de naissance…</w:t>
      </w:r>
    </w:p>
    <w:p w14:paraId="2B0779AF" w14:textId="77777777" w:rsidR="00007A16" w:rsidRPr="00871369" w:rsidRDefault="00007A16" w:rsidP="004404A0">
      <w:pPr>
        <w:pStyle w:val="Paragraphedeliste"/>
        <w:numPr>
          <w:ilvl w:val="0"/>
          <w:numId w:val="15"/>
        </w:numPr>
        <w:overflowPunct/>
        <w:autoSpaceDE/>
        <w:autoSpaceDN/>
        <w:adjustRightInd/>
        <w:textAlignment w:val="auto"/>
        <w:rPr>
          <w:rFonts w:cs="Arial"/>
          <w:szCs w:val="24"/>
        </w:rPr>
      </w:pPr>
      <w:r w:rsidRPr="00871369">
        <w:rPr>
          <w:rFonts w:cs="Arial"/>
          <w:szCs w:val="24"/>
        </w:rPr>
        <w:t>Statut et Carrière</w:t>
      </w:r>
    </w:p>
    <w:p w14:paraId="58D3FB26"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Dates d’entrée dans la collectivité et sur emploi permanent</w:t>
      </w:r>
    </w:p>
    <w:p w14:paraId="5756D312" w14:textId="33228A6A"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7404BA">
        <w:rPr>
          <w:rFonts w:cs="Arial"/>
          <w:szCs w:val="24"/>
        </w:rPr>
        <w:t>Equivalent temps plein rémunéré sur 20</w:t>
      </w:r>
      <w:r w:rsidR="00E025A8">
        <w:rPr>
          <w:rFonts w:cs="Arial"/>
          <w:szCs w:val="24"/>
        </w:rPr>
        <w:t>2</w:t>
      </w:r>
      <w:r w:rsidR="005C04F2">
        <w:rPr>
          <w:rFonts w:cs="Arial"/>
          <w:szCs w:val="24"/>
        </w:rPr>
        <w:t>1</w:t>
      </w:r>
      <w:r w:rsidRPr="00871369">
        <w:rPr>
          <w:rFonts w:cs="Arial"/>
          <w:szCs w:val="24"/>
        </w:rPr>
        <w:t xml:space="preserve"> (sauf si </w:t>
      </w:r>
      <w:r w:rsidR="0038584E">
        <w:rPr>
          <w:rFonts w:cs="Arial"/>
          <w:szCs w:val="24"/>
        </w:rPr>
        <w:t>pré-remplissage via Norme 4DS</w:t>
      </w:r>
      <w:r w:rsidR="005C04F2">
        <w:rPr>
          <w:rFonts w:cs="Arial"/>
          <w:szCs w:val="24"/>
        </w:rPr>
        <w:t xml:space="preserve"> / DSN</w:t>
      </w:r>
      <w:r w:rsidR="0038584E">
        <w:rPr>
          <w:rFonts w:cs="Arial"/>
          <w:szCs w:val="24"/>
        </w:rPr>
        <w:t>)</w:t>
      </w:r>
    </w:p>
    <w:p w14:paraId="38EC3374"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Mode de recrutement</w:t>
      </w:r>
    </w:p>
    <w:p w14:paraId="587EC1C8"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Statut : catégorie hiérarchique, filière, cadre d’emplois, grade</w:t>
      </w:r>
    </w:p>
    <w:p w14:paraId="11DCEAEE"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Type de contrat (le cas échéant)</w:t>
      </w:r>
    </w:p>
    <w:p w14:paraId="632D54B2" w14:textId="77777777" w:rsidR="00007A16" w:rsidRPr="00871369" w:rsidRDefault="00EB2714" w:rsidP="004404A0">
      <w:pPr>
        <w:pStyle w:val="Paragraphedeliste"/>
        <w:numPr>
          <w:ilvl w:val="0"/>
          <w:numId w:val="12"/>
        </w:numPr>
        <w:overflowPunct/>
        <w:autoSpaceDE/>
        <w:autoSpaceDN/>
        <w:adjustRightInd/>
        <w:textAlignment w:val="auto"/>
        <w:rPr>
          <w:rFonts w:cs="Arial"/>
          <w:szCs w:val="24"/>
        </w:rPr>
      </w:pPr>
      <w:r>
        <w:rPr>
          <w:rFonts w:cs="Arial"/>
          <w:szCs w:val="24"/>
        </w:rPr>
        <w:t xml:space="preserve">Reconnaissance en qualité de travailleur handicapé </w:t>
      </w:r>
      <w:r w:rsidR="00007A16" w:rsidRPr="00871369">
        <w:rPr>
          <w:rFonts w:cs="Arial"/>
          <w:szCs w:val="24"/>
        </w:rPr>
        <w:t>(le cas échéant)</w:t>
      </w:r>
    </w:p>
    <w:p w14:paraId="5D171F42"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Détachement (le cas échéant)</w:t>
      </w:r>
    </w:p>
    <w:p w14:paraId="5B1704B6" w14:textId="77777777" w:rsidR="00007A16" w:rsidRPr="00871369" w:rsidRDefault="00007A16" w:rsidP="004404A0">
      <w:pPr>
        <w:pStyle w:val="Paragraphedeliste"/>
        <w:numPr>
          <w:ilvl w:val="0"/>
          <w:numId w:val="12"/>
        </w:numPr>
        <w:overflowPunct/>
        <w:autoSpaceDE/>
        <w:autoSpaceDN/>
        <w:adjustRightInd/>
        <w:textAlignment w:val="auto"/>
        <w:rPr>
          <w:rFonts w:cs="Arial"/>
          <w:szCs w:val="24"/>
        </w:rPr>
      </w:pPr>
      <w:r w:rsidRPr="00871369">
        <w:rPr>
          <w:rFonts w:cs="Arial"/>
          <w:szCs w:val="24"/>
        </w:rPr>
        <w:t>Position particulière (le cas échéant)</w:t>
      </w:r>
    </w:p>
    <w:p w14:paraId="1D1C9CE0" w14:textId="77777777" w:rsidR="00007A16" w:rsidRPr="007404BA" w:rsidRDefault="00007A16" w:rsidP="004404A0">
      <w:pPr>
        <w:pStyle w:val="Paragraphedeliste"/>
        <w:numPr>
          <w:ilvl w:val="0"/>
          <w:numId w:val="13"/>
        </w:numPr>
        <w:overflowPunct/>
        <w:autoSpaceDE/>
        <w:autoSpaceDN/>
        <w:adjustRightInd/>
        <w:textAlignment w:val="auto"/>
        <w:rPr>
          <w:rFonts w:cs="Arial"/>
          <w:szCs w:val="24"/>
        </w:rPr>
      </w:pPr>
      <w:r w:rsidRPr="007404BA">
        <w:rPr>
          <w:rFonts w:cs="Arial"/>
          <w:szCs w:val="24"/>
        </w:rPr>
        <w:t>Le nombre de jours d’absences et les motifs</w:t>
      </w:r>
    </w:p>
    <w:p w14:paraId="6DBB0049" w14:textId="77777777" w:rsidR="00007A16" w:rsidRPr="007404BA" w:rsidRDefault="00007A16" w:rsidP="004404A0">
      <w:pPr>
        <w:pStyle w:val="Paragraphedeliste"/>
        <w:numPr>
          <w:ilvl w:val="0"/>
          <w:numId w:val="13"/>
        </w:numPr>
        <w:overflowPunct/>
        <w:autoSpaceDE/>
        <w:autoSpaceDN/>
        <w:adjustRightInd/>
        <w:textAlignment w:val="auto"/>
        <w:rPr>
          <w:rFonts w:cs="Arial"/>
          <w:szCs w:val="24"/>
        </w:rPr>
      </w:pPr>
      <w:r w:rsidRPr="007404BA">
        <w:rPr>
          <w:rFonts w:cs="Arial"/>
          <w:szCs w:val="24"/>
        </w:rPr>
        <w:t>Le nombre d’accidents de trajet, accident de travail, maladie professionnelle et le nombre de jours d’arrêts</w:t>
      </w:r>
    </w:p>
    <w:p w14:paraId="3A06D23A" w14:textId="77777777" w:rsidR="00007A16" w:rsidRPr="007404BA" w:rsidRDefault="00007A16" w:rsidP="004404A0">
      <w:pPr>
        <w:pStyle w:val="Paragraphedeliste"/>
        <w:numPr>
          <w:ilvl w:val="0"/>
          <w:numId w:val="13"/>
        </w:numPr>
        <w:overflowPunct/>
        <w:autoSpaceDE/>
        <w:autoSpaceDN/>
        <w:adjustRightInd/>
        <w:textAlignment w:val="auto"/>
        <w:rPr>
          <w:rFonts w:cs="Arial"/>
          <w:szCs w:val="24"/>
        </w:rPr>
      </w:pPr>
      <w:r w:rsidRPr="007404BA">
        <w:rPr>
          <w:rFonts w:cs="Arial"/>
          <w:szCs w:val="24"/>
        </w:rPr>
        <w:t>Compte épargne temps (CET) : nombre de jours accumulés, utilisés, indemnisés</w:t>
      </w:r>
    </w:p>
    <w:p w14:paraId="32BBCF84" w14:textId="77777777" w:rsidR="00007A16" w:rsidRPr="007404BA" w:rsidRDefault="00007A16" w:rsidP="004404A0">
      <w:pPr>
        <w:pStyle w:val="Paragraphedeliste"/>
        <w:numPr>
          <w:ilvl w:val="0"/>
          <w:numId w:val="13"/>
        </w:numPr>
        <w:overflowPunct/>
        <w:autoSpaceDE/>
        <w:autoSpaceDN/>
        <w:adjustRightInd/>
        <w:textAlignment w:val="auto"/>
        <w:rPr>
          <w:rFonts w:cs="Arial"/>
          <w:szCs w:val="24"/>
        </w:rPr>
      </w:pPr>
      <w:r w:rsidRPr="007404BA">
        <w:rPr>
          <w:rFonts w:cs="Arial"/>
          <w:szCs w:val="24"/>
        </w:rPr>
        <w:t>L’avis d’inaptitude (le cas échéant)</w:t>
      </w:r>
    </w:p>
    <w:p w14:paraId="6A14C9A0" w14:textId="77777777" w:rsidR="00007A16" w:rsidRPr="007404BA" w:rsidRDefault="00007A16" w:rsidP="004404A0">
      <w:pPr>
        <w:pStyle w:val="Paragraphedeliste"/>
        <w:numPr>
          <w:ilvl w:val="0"/>
          <w:numId w:val="13"/>
        </w:numPr>
        <w:overflowPunct/>
        <w:autoSpaceDE/>
        <w:autoSpaceDN/>
        <w:adjustRightInd/>
        <w:textAlignment w:val="auto"/>
        <w:rPr>
          <w:rFonts w:cs="Arial"/>
          <w:szCs w:val="24"/>
        </w:rPr>
      </w:pPr>
      <w:r w:rsidRPr="007404BA">
        <w:rPr>
          <w:rFonts w:cs="Arial"/>
          <w:szCs w:val="24"/>
        </w:rPr>
        <w:t>Les heures supplémentaires ou complémentaires rémunérées</w:t>
      </w:r>
    </w:p>
    <w:p w14:paraId="3A87F4B0" w14:textId="77777777" w:rsidR="00007A16" w:rsidRPr="007404BA" w:rsidRDefault="00007A16" w:rsidP="004404A0">
      <w:pPr>
        <w:pStyle w:val="Paragraphedeliste"/>
        <w:numPr>
          <w:ilvl w:val="0"/>
          <w:numId w:val="13"/>
        </w:numPr>
        <w:overflowPunct/>
        <w:autoSpaceDE/>
        <w:autoSpaceDN/>
        <w:adjustRightInd/>
        <w:textAlignment w:val="auto"/>
        <w:rPr>
          <w:rFonts w:cs="Arial"/>
          <w:szCs w:val="24"/>
        </w:rPr>
      </w:pPr>
      <w:r w:rsidRPr="007404BA">
        <w:rPr>
          <w:rFonts w:cs="Arial"/>
          <w:szCs w:val="24"/>
        </w:rPr>
        <w:t>Le nombre de journées de formation et l’organisme de formation</w:t>
      </w:r>
    </w:p>
    <w:p w14:paraId="0CC2DD8E" w14:textId="77777777" w:rsidR="00007A16" w:rsidRPr="007404BA" w:rsidRDefault="00007A16" w:rsidP="004404A0">
      <w:pPr>
        <w:pStyle w:val="Paragraphedeliste"/>
        <w:numPr>
          <w:ilvl w:val="0"/>
          <w:numId w:val="13"/>
        </w:numPr>
        <w:overflowPunct/>
        <w:autoSpaceDE/>
        <w:autoSpaceDN/>
        <w:adjustRightInd/>
        <w:textAlignment w:val="auto"/>
        <w:rPr>
          <w:rFonts w:cs="Arial"/>
          <w:szCs w:val="24"/>
        </w:rPr>
      </w:pPr>
      <w:r w:rsidRPr="007404BA">
        <w:rPr>
          <w:rFonts w:cs="Arial"/>
          <w:szCs w:val="24"/>
        </w:rPr>
        <w:t>Le télétravail (le cas échéant)</w:t>
      </w:r>
    </w:p>
    <w:p w14:paraId="2ABA4D5B" w14:textId="77777777" w:rsidR="00007A16" w:rsidRPr="007404BA" w:rsidRDefault="00007A16" w:rsidP="004404A0">
      <w:pPr>
        <w:pStyle w:val="Paragraphedeliste"/>
        <w:numPr>
          <w:ilvl w:val="0"/>
          <w:numId w:val="13"/>
        </w:numPr>
        <w:overflowPunct/>
        <w:autoSpaceDE/>
        <w:autoSpaceDN/>
        <w:adjustRightInd/>
        <w:textAlignment w:val="auto"/>
        <w:rPr>
          <w:rFonts w:cs="Arial"/>
          <w:szCs w:val="24"/>
        </w:rPr>
      </w:pPr>
      <w:r w:rsidRPr="007404BA">
        <w:rPr>
          <w:rFonts w:cs="Arial"/>
          <w:szCs w:val="24"/>
        </w:rPr>
        <w:t>Les validations des acquis de l’expérience (VAE)</w:t>
      </w:r>
      <w:r w:rsidR="00B95B39">
        <w:rPr>
          <w:rFonts w:cs="Arial"/>
          <w:szCs w:val="24"/>
        </w:rPr>
        <w:t>, les bilans de compétence, les congés de formation</w:t>
      </w:r>
    </w:p>
    <w:p w14:paraId="48365B73" w14:textId="77777777" w:rsidR="00007A16" w:rsidRPr="00871369" w:rsidRDefault="00007A16" w:rsidP="00007A16">
      <w:pPr>
        <w:overflowPunct/>
        <w:autoSpaceDE/>
        <w:autoSpaceDN/>
        <w:adjustRightInd/>
        <w:textAlignment w:val="auto"/>
        <w:rPr>
          <w:rFonts w:cs="Arial"/>
          <w:szCs w:val="24"/>
        </w:rPr>
      </w:pPr>
    </w:p>
    <w:p w14:paraId="33B0A184" w14:textId="1C5FCCC2" w:rsidR="002C44BE" w:rsidRPr="00871369" w:rsidRDefault="002C44BE" w:rsidP="002C44BE">
      <w:pPr>
        <w:jc w:val="both"/>
      </w:pPr>
    </w:p>
    <w:p w14:paraId="1A312038" w14:textId="77777777" w:rsidR="002C44BE" w:rsidRDefault="002C44BE" w:rsidP="002C44BE">
      <w:pPr>
        <w:jc w:val="both"/>
      </w:pPr>
    </w:p>
    <w:p w14:paraId="223EFE0D" w14:textId="77777777" w:rsidR="00F813ED" w:rsidRDefault="00F813ED" w:rsidP="002C44BE">
      <w:pPr>
        <w:jc w:val="both"/>
      </w:pPr>
    </w:p>
    <w:p w14:paraId="22D3C168" w14:textId="77777777" w:rsidR="00F813ED" w:rsidRDefault="00F813ED" w:rsidP="002C44BE">
      <w:pPr>
        <w:jc w:val="both"/>
      </w:pPr>
    </w:p>
    <w:p w14:paraId="30AF6E47" w14:textId="77777777" w:rsidR="00F813ED" w:rsidRDefault="00F813ED" w:rsidP="002C44BE">
      <w:pPr>
        <w:jc w:val="both"/>
      </w:pPr>
    </w:p>
    <w:p w14:paraId="552655CF" w14:textId="77777777" w:rsidR="00F813ED" w:rsidRDefault="00F813ED" w:rsidP="002C44BE">
      <w:pPr>
        <w:jc w:val="both"/>
      </w:pPr>
    </w:p>
    <w:p w14:paraId="3AB6D2FF" w14:textId="77777777" w:rsidR="00F813ED" w:rsidRDefault="00F813ED" w:rsidP="002C44BE">
      <w:pPr>
        <w:jc w:val="both"/>
      </w:pPr>
    </w:p>
    <w:p w14:paraId="12C95097" w14:textId="77777777" w:rsidR="00F813ED" w:rsidRDefault="00F813ED" w:rsidP="002C44BE">
      <w:pPr>
        <w:jc w:val="both"/>
      </w:pPr>
    </w:p>
    <w:p w14:paraId="50255D10" w14:textId="77777777" w:rsidR="00F813ED" w:rsidRDefault="00F813ED" w:rsidP="002C44BE">
      <w:pPr>
        <w:jc w:val="both"/>
      </w:pPr>
    </w:p>
    <w:p w14:paraId="44700F18" w14:textId="77777777" w:rsidR="00F813ED" w:rsidRDefault="00F813ED" w:rsidP="002C44BE">
      <w:pPr>
        <w:jc w:val="both"/>
      </w:pPr>
    </w:p>
    <w:p w14:paraId="19FFF538" w14:textId="77777777" w:rsidR="00F813ED" w:rsidRDefault="00F813ED" w:rsidP="002C44BE">
      <w:pPr>
        <w:jc w:val="both"/>
      </w:pPr>
    </w:p>
    <w:p w14:paraId="5DAEE9C5" w14:textId="77777777" w:rsidR="00F813ED" w:rsidRDefault="00F813ED" w:rsidP="002C44BE">
      <w:pPr>
        <w:jc w:val="both"/>
      </w:pPr>
    </w:p>
    <w:p w14:paraId="1A4B1591" w14:textId="77777777" w:rsidR="00F813ED" w:rsidRDefault="00F813ED" w:rsidP="002C44BE">
      <w:pPr>
        <w:jc w:val="both"/>
      </w:pPr>
    </w:p>
    <w:p w14:paraId="6A115010" w14:textId="77777777" w:rsidR="00F813ED" w:rsidRDefault="00F813ED" w:rsidP="002C44BE">
      <w:pPr>
        <w:jc w:val="both"/>
      </w:pPr>
    </w:p>
    <w:p w14:paraId="3539671B" w14:textId="77777777" w:rsidR="00F813ED" w:rsidRDefault="00F813ED" w:rsidP="002C44BE">
      <w:pPr>
        <w:jc w:val="both"/>
      </w:pPr>
    </w:p>
    <w:p w14:paraId="763542DC" w14:textId="015E7C81" w:rsidR="00F813ED" w:rsidRDefault="00F813ED" w:rsidP="002C44BE">
      <w:pPr>
        <w:jc w:val="both"/>
      </w:pPr>
    </w:p>
    <w:p w14:paraId="20DB0834" w14:textId="0DD6743C" w:rsidR="009F3A48" w:rsidRDefault="009F3A48" w:rsidP="002C44BE">
      <w:pPr>
        <w:jc w:val="both"/>
      </w:pPr>
    </w:p>
    <w:p w14:paraId="7735C965" w14:textId="657C1499" w:rsidR="009F3A48" w:rsidRDefault="009F3A48" w:rsidP="002C44BE">
      <w:pPr>
        <w:jc w:val="both"/>
      </w:pPr>
    </w:p>
    <w:p w14:paraId="642F1F33" w14:textId="7ECCDDC3" w:rsidR="009F3A48" w:rsidRDefault="009F3A48" w:rsidP="002C44BE">
      <w:pPr>
        <w:jc w:val="both"/>
      </w:pPr>
    </w:p>
    <w:p w14:paraId="146473CF" w14:textId="6CBB8A50" w:rsidR="009F3A48" w:rsidRDefault="009F3A48" w:rsidP="002C44BE">
      <w:pPr>
        <w:jc w:val="both"/>
      </w:pPr>
    </w:p>
    <w:p w14:paraId="71B60F27" w14:textId="7070412D" w:rsidR="009F3A48" w:rsidRDefault="009F3A48" w:rsidP="002C44BE">
      <w:pPr>
        <w:jc w:val="both"/>
      </w:pPr>
    </w:p>
    <w:p w14:paraId="1D815ED9" w14:textId="07207C48" w:rsidR="009F3A48" w:rsidRDefault="009F3A48" w:rsidP="002C44BE">
      <w:pPr>
        <w:jc w:val="both"/>
      </w:pPr>
    </w:p>
    <w:p w14:paraId="044C9AA5" w14:textId="09D5602C" w:rsidR="009F3A48" w:rsidRDefault="009F3A48" w:rsidP="002C44BE">
      <w:pPr>
        <w:jc w:val="both"/>
      </w:pPr>
    </w:p>
    <w:p w14:paraId="59D71C40" w14:textId="30E6A4C9" w:rsidR="009F3A48" w:rsidRDefault="009F3A48" w:rsidP="002C44BE">
      <w:pPr>
        <w:jc w:val="both"/>
      </w:pPr>
    </w:p>
    <w:p w14:paraId="1B4C751C" w14:textId="5F356E97" w:rsidR="009F3A48" w:rsidRDefault="009F3A48" w:rsidP="002C44BE">
      <w:pPr>
        <w:jc w:val="both"/>
      </w:pPr>
    </w:p>
    <w:p w14:paraId="1FE07245" w14:textId="008C8BA0" w:rsidR="009F3A48" w:rsidRDefault="009F3A48" w:rsidP="002C44BE">
      <w:pPr>
        <w:jc w:val="both"/>
      </w:pPr>
    </w:p>
    <w:p w14:paraId="2AD52256" w14:textId="4D931356" w:rsidR="009F3A48" w:rsidRDefault="009F3A48" w:rsidP="002C44BE">
      <w:pPr>
        <w:jc w:val="both"/>
      </w:pPr>
    </w:p>
    <w:p w14:paraId="76120A76" w14:textId="18B5AEE2" w:rsidR="009F3A48" w:rsidRPr="00664366" w:rsidRDefault="009F3A48" w:rsidP="009F3A48">
      <w:pPr>
        <w:pStyle w:val="Titre1"/>
      </w:pPr>
      <w:bookmarkStart w:id="2" w:name="_Toc100845229"/>
      <w:bookmarkStart w:id="3" w:name="_Toc104276124"/>
      <w:r w:rsidRPr="00664366">
        <w:lastRenderedPageBreak/>
        <w:t>E</w:t>
      </w:r>
      <w:r w:rsidR="009652C6">
        <w:t>mploi</w:t>
      </w:r>
      <w:bookmarkEnd w:id="2"/>
      <w:bookmarkEnd w:id="3"/>
    </w:p>
    <w:p w14:paraId="2D285352" w14:textId="77777777" w:rsidR="009F3A48" w:rsidRPr="00664366" w:rsidRDefault="009F3A48" w:rsidP="009F3A48">
      <w:pPr>
        <w:jc w:val="both"/>
        <w:rPr>
          <w:b/>
          <w:color w:val="000000"/>
          <w:szCs w:val="24"/>
        </w:rPr>
      </w:pPr>
    </w:p>
    <w:p w14:paraId="7F112D67" w14:textId="77777777" w:rsidR="009F3A48" w:rsidRPr="00664366" w:rsidRDefault="009F3A48" w:rsidP="009F3A48">
      <w:pPr>
        <w:jc w:val="both"/>
        <w:rPr>
          <w:b/>
          <w:color w:val="00B0F0"/>
          <w:szCs w:val="24"/>
        </w:rPr>
      </w:pPr>
      <w:r w:rsidRPr="00664366">
        <w:rPr>
          <w:b/>
          <w:color w:val="00B0F0"/>
          <w:szCs w:val="24"/>
        </w:rPr>
        <w:t xml:space="preserve">Quels sont les agents qui doivent être saisis dans le rapport social unique ? </w:t>
      </w:r>
    </w:p>
    <w:p w14:paraId="5107C699" w14:textId="17B861F8" w:rsidR="009F3A48" w:rsidRPr="00664366" w:rsidRDefault="009F3A48" w:rsidP="009F3A48">
      <w:pPr>
        <w:jc w:val="both"/>
        <w:rPr>
          <w:color w:val="000000"/>
          <w:szCs w:val="24"/>
        </w:rPr>
      </w:pPr>
      <w:r w:rsidRPr="00664366">
        <w:rPr>
          <w:color w:val="000000"/>
          <w:szCs w:val="24"/>
        </w:rPr>
        <w:t>Vous devez recenser les agents titulaires, stagiaires, contractuels occupant un emploi permanent, et contractuels occupant un emploi non permanent qui ont été rémunérés au moins un jour au cours de l’année 2021 par votre collectivité ou établissement, y compris les accroissements temporaires d’activité</w:t>
      </w:r>
      <w:r w:rsidR="00C77940">
        <w:rPr>
          <w:color w:val="000000"/>
          <w:szCs w:val="24"/>
        </w:rPr>
        <w:t xml:space="preserve"> et les vacataires</w:t>
      </w:r>
      <w:r w:rsidRPr="00664366">
        <w:rPr>
          <w:color w:val="000000"/>
          <w:szCs w:val="24"/>
        </w:rPr>
        <w:t xml:space="preserve">. Le type d’agents à recenser diffère d’un indicateur à l’autre. </w:t>
      </w:r>
    </w:p>
    <w:p w14:paraId="325AB0ED" w14:textId="77777777" w:rsidR="009F3A48" w:rsidRPr="00664366" w:rsidRDefault="009F3A48" w:rsidP="009F3A48">
      <w:pPr>
        <w:jc w:val="both"/>
        <w:rPr>
          <w:color w:val="000000"/>
        </w:rPr>
      </w:pPr>
    </w:p>
    <w:p w14:paraId="5C4249AA" w14:textId="77777777" w:rsidR="009F3A48" w:rsidRPr="00664366" w:rsidRDefault="009F3A48" w:rsidP="009F3A48">
      <w:pPr>
        <w:jc w:val="both"/>
        <w:rPr>
          <w:b/>
          <w:color w:val="00B0F0"/>
        </w:rPr>
      </w:pPr>
      <w:r w:rsidRPr="00664366">
        <w:rPr>
          <w:b/>
          <w:color w:val="00B0F0"/>
        </w:rPr>
        <w:t>Quels sont les agents qui ne doivent pas être saisis dans le rapport social unique ?</w:t>
      </w:r>
    </w:p>
    <w:p w14:paraId="7610E93A" w14:textId="77777777" w:rsidR="009F3A48" w:rsidRPr="00664366" w:rsidRDefault="009F3A48" w:rsidP="009F3A48">
      <w:pPr>
        <w:jc w:val="both"/>
        <w:rPr>
          <w:color w:val="000000"/>
        </w:rPr>
      </w:pPr>
      <w:r w:rsidRPr="00664366">
        <w:rPr>
          <w:color w:val="000000"/>
        </w:rPr>
        <w:t>Vous ne devez pas comptabiliser les agents suivants :</w:t>
      </w:r>
    </w:p>
    <w:p w14:paraId="01D05A8C" w14:textId="77777777" w:rsidR="009F3A48" w:rsidRPr="00664366" w:rsidRDefault="009F3A48" w:rsidP="009F3A48">
      <w:pPr>
        <w:ind w:left="426"/>
        <w:jc w:val="both"/>
        <w:rPr>
          <w:color w:val="000000"/>
        </w:rPr>
      </w:pPr>
      <w:r w:rsidRPr="00664366">
        <w:rPr>
          <w:color w:val="000000"/>
        </w:rPr>
        <w:t>- Les élus (car les élus ne sont pas des agents).</w:t>
      </w:r>
    </w:p>
    <w:p w14:paraId="312E65BB" w14:textId="77777777" w:rsidR="009F3A48" w:rsidRPr="00664366" w:rsidRDefault="009F3A48" w:rsidP="009F3A48">
      <w:pPr>
        <w:ind w:left="426"/>
        <w:jc w:val="both"/>
        <w:rPr>
          <w:color w:val="000000"/>
        </w:rPr>
      </w:pPr>
      <w:r w:rsidRPr="00664366">
        <w:rPr>
          <w:color w:val="000000"/>
        </w:rPr>
        <w:t>- Les agents éventuellement pris en charge par le centre de gestion ou le CNFPT et travaillant dans une collectivité (article L542-6 du Code Général de la Fonction Publique) ne doivent pas être recensés par la collectivité mais par la structure qui les prend en charge.</w:t>
      </w:r>
    </w:p>
    <w:p w14:paraId="5C018B9B" w14:textId="77777777" w:rsidR="009F3A48" w:rsidRPr="00664366" w:rsidRDefault="009F3A48" w:rsidP="009F3A48">
      <w:pPr>
        <w:jc w:val="both"/>
        <w:rPr>
          <w:color w:val="000000"/>
          <w:szCs w:val="24"/>
        </w:rPr>
      </w:pPr>
    </w:p>
    <w:p w14:paraId="42558D87" w14:textId="77777777" w:rsidR="009F3A48" w:rsidRPr="00664366" w:rsidRDefault="009F3A48" w:rsidP="009F3A48">
      <w:pPr>
        <w:jc w:val="both"/>
        <w:rPr>
          <w:b/>
          <w:color w:val="00B0F0"/>
          <w:szCs w:val="24"/>
        </w:rPr>
      </w:pPr>
      <w:r w:rsidRPr="00664366">
        <w:rPr>
          <w:b/>
          <w:color w:val="00B0F0"/>
          <w:szCs w:val="24"/>
        </w:rPr>
        <w:t>Faut-il renseigner les agents détachés travaillant au sein d'une structure de droit privé ?</w:t>
      </w:r>
    </w:p>
    <w:p w14:paraId="6723542D" w14:textId="77777777" w:rsidR="009F3A48" w:rsidRPr="00664366" w:rsidRDefault="009F3A48" w:rsidP="009F3A48">
      <w:pPr>
        <w:jc w:val="both"/>
        <w:rPr>
          <w:color w:val="000000"/>
          <w:szCs w:val="24"/>
        </w:rPr>
      </w:pPr>
      <w:r w:rsidRPr="00664366">
        <w:rPr>
          <w:color w:val="000000"/>
          <w:szCs w:val="24"/>
        </w:rPr>
        <w:t>Les fonctionnaires détachés sur un contrat de droit privé doivent être renseignés dans le rapport social unique à l’</w:t>
      </w:r>
      <w:r w:rsidRPr="00664366">
        <w:rPr>
          <w:rFonts w:cs="Arial"/>
          <w:i/>
          <w:color w:val="E36C0A" w:themeColor="accent6" w:themeShade="BF"/>
          <w:szCs w:val="24"/>
        </w:rPr>
        <w:t>indicateur 1.4.1</w:t>
      </w:r>
      <w:r w:rsidRPr="00664366">
        <w:rPr>
          <w:color w:val="000000"/>
          <w:szCs w:val="24"/>
        </w:rPr>
        <w:t>.</w:t>
      </w:r>
    </w:p>
    <w:p w14:paraId="12837D34" w14:textId="77777777" w:rsidR="009F3A48" w:rsidRPr="00664366" w:rsidRDefault="009F3A48" w:rsidP="009F3A48">
      <w:pPr>
        <w:jc w:val="both"/>
        <w:rPr>
          <w:color w:val="000000"/>
        </w:rPr>
      </w:pPr>
    </w:p>
    <w:p w14:paraId="5966FB5F" w14:textId="77777777" w:rsidR="009F3A48" w:rsidRPr="00664366" w:rsidRDefault="009F3A48" w:rsidP="009F3A48">
      <w:pPr>
        <w:jc w:val="both"/>
        <w:rPr>
          <w:b/>
          <w:color w:val="00B0F0"/>
        </w:rPr>
      </w:pPr>
      <w:r w:rsidRPr="00664366">
        <w:rPr>
          <w:b/>
          <w:color w:val="00B0F0"/>
        </w:rPr>
        <w:t>Comment saisir les agents qui occupent plusieurs postes au sein de la même collectivité, dans des filières différentes ?</w:t>
      </w:r>
    </w:p>
    <w:p w14:paraId="5EC6504A" w14:textId="434B2D74" w:rsidR="009F3A48" w:rsidRPr="00664366" w:rsidRDefault="009F3A48" w:rsidP="009F3A48">
      <w:pPr>
        <w:jc w:val="both"/>
        <w:rPr>
          <w:color w:val="000000"/>
        </w:rPr>
      </w:pPr>
      <w:r w:rsidRPr="00664366">
        <w:rPr>
          <w:color w:val="000000"/>
        </w:rPr>
        <w:t>Dans une même collectivité, un agent ne doit pas être comptabilisé plusieurs fois, cela fausserait les effectifs de la collectivité. Dans ce cas, il faut choisir la filière dans laquelle l’agent a sa carrière principale, à savoir la filière dans laquelle il a la quotité d’heures la plus importante sur l’année. En cas de nombre d’heure</w:t>
      </w:r>
      <w:r w:rsidR="00D444A2">
        <w:rPr>
          <w:color w:val="000000"/>
        </w:rPr>
        <w:t>s</w:t>
      </w:r>
      <w:r w:rsidRPr="00664366">
        <w:rPr>
          <w:color w:val="000000"/>
        </w:rPr>
        <w:t xml:space="preserve"> équivalent, prendre l’emplo</w:t>
      </w:r>
      <w:r w:rsidR="00D444A2">
        <w:rPr>
          <w:color w:val="000000"/>
        </w:rPr>
        <w:t>i</w:t>
      </w:r>
      <w:r w:rsidRPr="00664366">
        <w:rPr>
          <w:color w:val="000000"/>
        </w:rPr>
        <w:t xml:space="preserve"> le plus ancien.</w:t>
      </w:r>
    </w:p>
    <w:p w14:paraId="79030C7B" w14:textId="77777777" w:rsidR="009F3A48" w:rsidRPr="00664366" w:rsidRDefault="009F3A48" w:rsidP="009F3A48">
      <w:pPr>
        <w:jc w:val="both"/>
        <w:rPr>
          <w:color w:val="000000"/>
        </w:rPr>
      </w:pPr>
    </w:p>
    <w:p w14:paraId="0502D694" w14:textId="77777777" w:rsidR="009F3A48" w:rsidRPr="00664366" w:rsidRDefault="009F3A48" w:rsidP="009F3A48">
      <w:pPr>
        <w:jc w:val="both"/>
        <w:rPr>
          <w:b/>
          <w:color w:val="00B0F0"/>
        </w:rPr>
      </w:pPr>
      <w:r w:rsidRPr="00664366">
        <w:rPr>
          <w:b/>
          <w:color w:val="00B0F0"/>
        </w:rPr>
        <w:t>Comment recenser un agent qui a changé de situation en cours d'année ?</w:t>
      </w:r>
    </w:p>
    <w:p w14:paraId="58EEA409" w14:textId="77777777" w:rsidR="009F3A48" w:rsidRPr="00664366" w:rsidRDefault="009F3A48" w:rsidP="009F3A48">
      <w:pPr>
        <w:jc w:val="both"/>
        <w:rPr>
          <w:color w:val="000000"/>
        </w:rPr>
      </w:pPr>
      <w:r w:rsidRPr="00664366">
        <w:rPr>
          <w:color w:val="000000"/>
        </w:rPr>
        <w:t>Dans la partie « effectifs », il faut prendre en compte sa situation au 31 décembre 2021.</w:t>
      </w:r>
    </w:p>
    <w:p w14:paraId="5617D6EB" w14:textId="77777777" w:rsidR="009F3A48" w:rsidRPr="00664366" w:rsidRDefault="009F3A48" w:rsidP="009F3A48">
      <w:pPr>
        <w:jc w:val="both"/>
        <w:rPr>
          <w:color w:val="000000"/>
        </w:rPr>
      </w:pPr>
    </w:p>
    <w:p w14:paraId="6B9CD38E" w14:textId="77777777" w:rsidR="009F3A48" w:rsidRPr="00664366" w:rsidRDefault="009F3A48" w:rsidP="000C498E">
      <w:pPr>
        <w:contextualSpacing/>
        <w:jc w:val="both"/>
        <w:rPr>
          <w:b/>
          <w:color w:val="00B0F0"/>
          <w:szCs w:val="24"/>
        </w:rPr>
      </w:pPr>
      <w:r w:rsidRPr="000C498E">
        <w:rPr>
          <w:b/>
          <w:color w:val="00B0F0"/>
        </w:rPr>
        <w:t>Quelle est</w:t>
      </w:r>
      <w:r w:rsidRPr="00664366">
        <w:rPr>
          <w:b/>
          <w:color w:val="00B0F0"/>
          <w:szCs w:val="24"/>
        </w:rPr>
        <w:t xml:space="preserve"> la différence entre un emploi à temps non complet et un emploi à temps partiel ?</w:t>
      </w:r>
    </w:p>
    <w:p w14:paraId="7A6CD4C9" w14:textId="77777777" w:rsidR="009F3A48" w:rsidRPr="00664366" w:rsidRDefault="009F3A48" w:rsidP="000C498E">
      <w:pPr>
        <w:contextualSpacing/>
        <w:jc w:val="both"/>
        <w:rPr>
          <w:color w:val="000000"/>
          <w:szCs w:val="24"/>
        </w:rPr>
      </w:pPr>
      <w:r w:rsidRPr="000C498E">
        <w:rPr>
          <w:color w:val="000000"/>
        </w:rPr>
        <w:t>Un emploi à temps non complet est créé lorsque la collectivité estime que les besoins du service ne nécessitent</w:t>
      </w:r>
      <w:r w:rsidRPr="00664366">
        <w:rPr>
          <w:color w:val="000000"/>
          <w:szCs w:val="24"/>
        </w:rPr>
        <w:t xml:space="preserve"> pas </w:t>
      </w:r>
      <w:proofErr w:type="gramStart"/>
      <w:r w:rsidRPr="00664366">
        <w:rPr>
          <w:color w:val="000000"/>
          <w:szCs w:val="24"/>
        </w:rPr>
        <w:t>un emploi à 35 heures hebdomadaires</w:t>
      </w:r>
      <w:proofErr w:type="gramEnd"/>
      <w:r w:rsidRPr="00664366">
        <w:rPr>
          <w:color w:val="000000"/>
          <w:szCs w:val="24"/>
        </w:rPr>
        <w:t xml:space="preserve">. Le temps est alors défini en x/35ème par l’assemblée délibérante. L’agent </w:t>
      </w:r>
      <w:proofErr w:type="gramStart"/>
      <w:r w:rsidRPr="00664366">
        <w:rPr>
          <w:color w:val="000000"/>
          <w:szCs w:val="24"/>
        </w:rPr>
        <w:t>postulant à</w:t>
      </w:r>
      <w:proofErr w:type="gramEnd"/>
      <w:r w:rsidRPr="00664366">
        <w:rPr>
          <w:color w:val="000000"/>
          <w:szCs w:val="24"/>
        </w:rPr>
        <w:t xml:space="preserve"> cet emploi sait qu’il sera nommé à temps non complet.</w:t>
      </w:r>
    </w:p>
    <w:p w14:paraId="4F5CD70A" w14:textId="11365309" w:rsidR="000A727B" w:rsidRDefault="009F3A48" w:rsidP="009F3A48">
      <w:pPr>
        <w:spacing w:after="120"/>
        <w:jc w:val="both"/>
        <w:rPr>
          <w:color w:val="000000"/>
          <w:szCs w:val="24"/>
        </w:rPr>
      </w:pPr>
      <w:r w:rsidRPr="00664366">
        <w:rPr>
          <w:color w:val="000000"/>
          <w:szCs w:val="24"/>
        </w:rPr>
        <w:t>Pour le temps partiel, l’emploi a initialement été créé à temps complet. Dans le respect de la procédure applicable, l’agent demande à travailler une quotité moindre sur une période donnée. Son temps de travail est exprimé en pourcentage d’un temps complet (ex. : 80 %). Le temps partiel peut-être de droit (c’est-à-dire que la collectivité ne peut pas refuser la demande de l’agent) ou sur autorisation.</w:t>
      </w:r>
    </w:p>
    <w:p w14:paraId="6C1C4AE5" w14:textId="77777777" w:rsidR="004876E5" w:rsidRPr="004876E5" w:rsidRDefault="004876E5" w:rsidP="004876E5">
      <w:pPr>
        <w:jc w:val="both"/>
        <w:rPr>
          <w:b/>
          <w:color w:val="00B0F0"/>
        </w:rPr>
      </w:pPr>
    </w:p>
    <w:p w14:paraId="02EBA37F" w14:textId="77777777" w:rsidR="009F3A48" w:rsidRPr="00664366" w:rsidRDefault="009F3A48" w:rsidP="009F3A48">
      <w:pPr>
        <w:jc w:val="both"/>
        <w:rPr>
          <w:b/>
          <w:color w:val="00B0F0"/>
        </w:rPr>
      </w:pPr>
      <w:r w:rsidRPr="004876E5">
        <w:rPr>
          <w:b/>
          <w:color w:val="00B0F0"/>
        </w:rPr>
        <w:t>Comment recenser</w:t>
      </w:r>
      <w:r w:rsidRPr="00664366">
        <w:rPr>
          <w:b/>
          <w:color w:val="00B0F0"/>
        </w:rPr>
        <w:t xml:space="preserve"> un agent sur emploi fonctionnel ?</w:t>
      </w:r>
    </w:p>
    <w:p w14:paraId="24EBDF0F" w14:textId="77777777" w:rsidR="009F3A48" w:rsidRPr="00664366" w:rsidRDefault="009F3A48" w:rsidP="009F3A48">
      <w:pPr>
        <w:jc w:val="both"/>
        <w:rPr>
          <w:color w:val="000000"/>
        </w:rPr>
      </w:pPr>
      <w:r w:rsidRPr="00664366">
        <w:rPr>
          <w:color w:val="000000"/>
        </w:rPr>
        <w:t xml:space="preserve">Un agent sur emploi fonctionnel présent au 31 décembre 2021 doit être recensé dans l’indicateur dédié, </w:t>
      </w:r>
      <w:r w:rsidRPr="00664366">
        <w:rPr>
          <w:rFonts w:cs="Arial"/>
          <w:i/>
          <w:color w:val="E36C0A" w:themeColor="accent6" w:themeShade="BF"/>
          <w:szCs w:val="24"/>
        </w:rPr>
        <w:t>l’indicateur 1.1.0</w:t>
      </w:r>
      <w:r w:rsidRPr="00664366">
        <w:rPr>
          <w:color w:val="000000"/>
        </w:rPr>
        <w:t xml:space="preserve">. Il doit également être renseigné </w:t>
      </w:r>
      <w:r w:rsidRPr="00664366">
        <w:t>à l’</w:t>
      </w:r>
      <w:r w:rsidRPr="00664366">
        <w:rPr>
          <w:rFonts w:cs="Arial"/>
          <w:i/>
          <w:color w:val="E36C0A" w:themeColor="accent6" w:themeShade="BF"/>
          <w:szCs w:val="24"/>
        </w:rPr>
        <w:t>indicateur 1.1.1 ou au 1.2.1</w:t>
      </w:r>
      <w:r w:rsidRPr="00664366">
        <w:rPr>
          <w:rFonts w:cs="Arial"/>
          <w:szCs w:val="24"/>
        </w:rPr>
        <w:t xml:space="preserve"> suivant qu’il était un agent titulaire ou un agent contractuel sur emploi permanent à cette date.</w:t>
      </w:r>
    </w:p>
    <w:p w14:paraId="07D90478" w14:textId="77777777" w:rsidR="009F3A48" w:rsidRPr="00664366" w:rsidRDefault="009F3A48" w:rsidP="009F3A48">
      <w:pPr>
        <w:jc w:val="both"/>
        <w:rPr>
          <w:color w:val="000000"/>
        </w:rPr>
      </w:pPr>
    </w:p>
    <w:p w14:paraId="2B8D14AF" w14:textId="77777777" w:rsidR="009F3A48" w:rsidRPr="00664366" w:rsidRDefault="009F3A48" w:rsidP="009F3A48">
      <w:pPr>
        <w:jc w:val="both"/>
        <w:rPr>
          <w:b/>
          <w:color w:val="00B0F0"/>
        </w:rPr>
      </w:pPr>
      <w:r w:rsidRPr="00664366">
        <w:rPr>
          <w:b/>
          <w:color w:val="00B0F0"/>
        </w:rPr>
        <w:t>Faut-il recenser un agent saisonnier qui a été présent 15 jours durant l’été ?</w:t>
      </w:r>
    </w:p>
    <w:p w14:paraId="5E5F540A" w14:textId="77777777" w:rsidR="009F3A48" w:rsidRPr="00664366" w:rsidRDefault="009F3A48" w:rsidP="009F3A48">
      <w:pPr>
        <w:jc w:val="both"/>
      </w:pPr>
      <w:r w:rsidRPr="00664366">
        <w:t>La "photographie" se fait au 31/12/2021, c'est à cette date qu'on évalue la situation de chacun des agents. Mais tous les agents ayant figuré dans les effectifs au moins un jour en 2021 sont pris en compte.</w:t>
      </w:r>
    </w:p>
    <w:p w14:paraId="0A27F501" w14:textId="77777777" w:rsidR="009F3A48" w:rsidRPr="00664366" w:rsidRDefault="009F3A48" w:rsidP="009F3A48">
      <w:pPr>
        <w:jc w:val="both"/>
        <w:rPr>
          <w:rFonts w:cs="Arial"/>
          <w:szCs w:val="24"/>
        </w:rPr>
      </w:pPr>
      <w:r w:rsidRPr="00664366">
        <w:lastRenderedPageBreak/>
        <w:t xml:space="preserve">Ainsi, un agent sur emploi permanent présent dans la collectivité seulement 15 jours en juillet doit faire l'objet d'une saisie des dates et motifs d’arrivée et de départ, du temps de travail et de la rémunération. S’il était présent au 31/12/2021, il doit également figurer parmi les effectifs de la collectivité au 31/12/2021, à </w:t>
      </w:r>
      <w:r w:rsidRPr="00664366">
        <w:rPr>
          <w:rFonts w:cs="Arial"/>
          <w:i/>
          <w:color w:val="E36C0A" w:themeColor="accent6" w:themeShade="BF"/>
          <w:szCs w:val="24"/>
        </w:rPr>
        <w:t>l’indicateur 1.1.1 ou au 1.2.1</w:t>
      </w:r>
      <w:r w:rsidRPr="00664366">
        <w:rPr>
          <w:rFonts w:cs="Arial"/>
          <w:szCs w:val="24"/>
        </w:rPr>
        <w:t xml:space="preserve"> suivant qu’il était un agent titulaire ou un agent contractuel sur emploi permanent à cette date. S’il s’agissait d’un agent contractuel sur emploi non permanent, il doit figurer parmi les effectifs rémunérés au 31 décembre 2021 à </w:t>
      </w:r>
      <w:r w:rsidRPr="00664366">
        <w:rPr>
          <w:rFonts w:cs="Arial"/>
          <w:i/>
          <w:color w:val="E36C0A" w:themeColor="accent6" w:themeShade="BF"/>
          <w:szCs w:val="24"/>
        </w:rPr>
        <w:t>l’indicateur 1.3.1</w:t>
      </w:r>
      <w:r w:rsidRPr="00664366">
        <w:rPr>
          <w:rFonts w:cs="Arial"/>
          <w:szCs w:val="24"/>
        </w:rPr>
        <w:t>.</w:t>
      </w:r>
    </w:p>
    <w:p w14:paraId="39EED405" w14:textId="77777777" w:rsidR="009F3A48" w:rsidRPr="00664366" w:rsidRDefault="009F3A48" w:rsidP="009F3A48">
      <w:pPr>
        <w:jc w:val="both"/>
      </w:pPr>
    </w:p>
    <w:p w14:paraId="1A48A78C" w14:textId="77777777" w:rsidR="009F3A48" w:rsidRPr="00664366" w:rsidRDefault="009F3A48" w:rsidP="009F3A48">
      <w:pPr>
        <w:jc w:val="both"/>
        <w:rPr>
          <w:b/>
          <w:color w:val="00B0F0"/>
        </w:rPr>
      </w:pPr>
      <w:r w:rsidRPr="00664366">
        <w:rPr>
          <w:b/>
          <w:color w:val="00B0F0"/>
        </w:rPr>
        <w:t>Faut-il recenser un agent de la collectivité en disponibilité depuis le mois d’octobre 2021 ?</w:t>
      </w:r>
    </w:p>
    <w:p w14:paraId="705076A1" w14:textId="77777777" w:rsidR="009F3A48" w:rsidRPr="00664366" w:rsidRDefault="009F3A48" w:rsidP="009F3A48">
      <w:pPr>
        <w:jc w:val="both"/>
      </w:pPr>
      <w:r w:rsidRPr="00664366">
        <w:t xml:space="preserve">La "photographie" se fait au 31/12/2021, c'est à cette date qu'on évalue la situation de chacun des agents. Néanmoins, des indicateurs spécifiques sont prévus pour les agents en disponibilité. Un agent en disponibilité doit être recensé à </w:t>
      </w:r>
      <w:r w:rsidRPr="00664366">
        <w:rPr>
          <w:rFonts w:cs="Arial"/>
          <w:i/>
          <w:color w:val="E36C0A" w:themeColor="accent6" w:themeShade="BF"/>
          <w:szCs w:val="24"/>
        </w:rPr>
        <w:t>l’indicateur 1.4.1</w:t>
      </w:r>
      <w:r w:rsidRPr="00664366">
        <w:t xml:space="preserve"> « nombre d’agents originaires de la collectivité » et faire l'objet d'une saisie des dates et motifs d’arrivée et de départ ainsi que de sa rémunération, en indiquant bien sûr la situation au 31/12/2021.</w:t>
      </w:r>
    </w:p>
    <w:p w14:paraId="59E3F759" w14:textId="77777777" w:rsidR="009F3A48" w:rsidRPr="00664366" w:rsidRDefault="009F3A48" w:rsidP="009F3A48">
      <w:pPr>
        <w:jc w:val="both"/>
        <w:rPr>
          <w:b/>
          <w:color w:val="000000"/>
        </w:rPr>
      </w:pPr>
    </w:p>
    <w:p w14:paraId="1994EAB9" w14:textId="77777777" w:rsidR="009F3A48" w:rsidRPr="00664366" w:rsidRDefault="009F3A48" w:rsidP="009F3A48">
      <w:pPr>
        <w:jc w:val="both"/>
        <w:rPr>
          <w:b/>
          <w:color w:val="00B0F0"/>
          <w:szCs w:val="24"/>
        </w:rPr>
      </w:pPr>
      <w:r w:rsidRPr="00664366">
        <w:rPr>
          <w:b/>
          <w:color w:val="00B0F0"/>
          <w:szCs w:val="24"/>
        </w:rPr>
        <w:t xml:space="preserve">Comment renseigner le nombre d’agents en équivalent temps plein rémunéré (ETPR) ? </w:t>
      </w:r>
    </w:p>
    <w:p w14:paraId="00FD8970" w14:textId="21D70223" w:rsidR="009F3A48" w:rsidRPr="00664366" w:rsidRDefault="009F3A48" w:rsidP="009F3A48">
      <w:pPr>
        <w:jc w:val="both"/>
        <w:rPr>
          <w:rFonts w:cs="Arial"/>
          <w:i/>
          <w:color w:val="E36C0A" w:themeColor="accent6" w:themeShade="BF"/>
          <w:szCs w:val="24"/>
        </w:rPr>
      </w:pPr>
      <w:r w:rsidRPr="00664366">
        <w:rPr>
          <w:rFonts w:cs="Arial"/>
          <w:i/>
          <w:color w:val="E36C0A" w:themeColor="accent6" w:themeShade="BF"/>
          <w:szCs w:val="24"/>
        </w:rPr>
        <w:t xml:space="preserve">Indicateurs 1.1.4 / 1.2.4 / 1.3.1 </w:t>
      </w:r>
    </w:p>
    <w:p w14:paraId="198E3314" w14:textId="77777777" w:rsidR="009F3A48" w:rsidRPr="00664366" w:rsidRDefault="009F3A48" w:rsidP="009F3A48">
      <w:pPr>
        <w:spacing w:before="120"/>
        <w:jc w:val="both"/>
        <w:rPr>
          <w:color w:val="000000"/>
        </w:rPr>
      </w:pPr>
      <w:r w:rsidRPr="00664366">
        <w:rPr>
          <w:color w:val="000000"/>
        </w:rPr>
        <w:t xml:space="preserve">L'Equivalent Temps Plein Rémunéré (ETPR) est proportionnel à l'activité d'un agent, mesuré par sa quotité de temps de travail et par sa période d'activité sur l'année. </w:t>
      </w:r>
      <w:proofErr w:type="gramStart"/>
      <w:r w:rsidRPr="00664366">
        <w:rPr>
          <w:color w:val="000000"/>
        </w:rPr>
        <w:t>Par contre</w:t>
      </w:r>
      <w:proofErr w:type="gramEnd"/>
      <w:r w:rsidRPr="00664366">
        <w:rPr>
          <w:color w:val="000000"/>
        </w:rPr>
        <w:t>, il ne tient pas compte des heures supplémentaires et/ou complémentaires effectuées par l'agent.</w:t>
      </w:r>
    </w:p>
    <w:p w14:paraId="7F4A523E" w14:textId="77777777" w:rsidR="009F3A48" w:rsidRPr="00664366" w:rsidRDefault="009F3A48" w:rsidP="009F3A48">
      <w:pPr>
        <w:spacing w:before="120"/>
        <w:jc w:val="both"/>
        <w:rPr>
          <w:color w:val="000000"/>
        </w:rPr>
      </w:pPr>
      <w:r w:rsidRPr="00664366">
        <w:rPr>
          <w:color w:val="000000"/>
        </w:rPr>
        <w:t>La base de calcul pour un agent à temps plein (35 heures), ayant été en activité toute l'année correspond au nombre total d'heures payées soit 1 820 heures pour une année.</w:t>
      </w:r>
    </w:p>
    <w:p w14:paraId="614200E8" w14:textId="77777777" w:rsidR="009F3A48" w:rsidRPr="00664366" w:rsidRDefault="009F3A48" w:rsidP="009F3A48">
      <w:pPr>
        <w:spacing w:before="120"/>
        <w:jc w:val="both"/>
        <w:rPr>
          <w:color w:val="000000"/>
        </w:rPr>
      </w:pPr>
      <w:r w:rsidRPr="00664366">
        <w:rPr>
          <w:color w:val="000000"/>
        </w:rPr>
        <w:t>Les périodes d'activités rémunérées sont incluses dans cette base de calcul (congés, absence, etc.).</w:t>
      </w:r>
    </w:p>
    <w:p w14:paraId="3C29A790" w14:textId="77777777" w:rsidR="009F3A48" w:rsidRPr="00664366" w:rsidRDefault="009F3A48" w:rsidP="009F3A48">
      <w:pPr>
        <w:spacing w:before="120"/>
        <w:jc w:val="both"/>
        <w:rPr>
          <w:color w:val="000000"/>
        </w:rPr>
      </w:pPr>
      <w:r w:rsidRPr="00664366">
        <w:rPr>
          <w:color w:val="000000"/>
        </w:rPr>
        <w:t>Le nombre d'heures payées à prendre en compte pour un agent, est le nombre d'heures annuelles cumulées au dernier jour de l'année ou au dernier jour de travail de l'agent.</w:t>
      </w:r>
    </w:p>
    <w:p w14:paraId="250E0CA4" w14:textId="77777777" w:rsidR="009F3A48" w:rsidRPr="00664366" w:rsidRDefault="009F3A48" w:rsidP="009F3A48">
      <w:pPr>
        <w:pStyle w:val="Paragraphedeliste"/>
        <w:numPr>
          <w:ilvl w:val="0"/>
          <w:numId w:val="14"/>
        </w:numPr>
        <w:spacing w:before="120"/>
        <w:ind w:left="284" w:hanging="284"/>
        <w:contextualSpacing w:val="0"/>
        <w:jc w:val="both"/>
        <w:rPr>
          <w:color w:val="000000"/>
        </w:rPr>
      </w:pPr>
      <w:r w:rsidRPr="00664366">
        <w:rPr>
          <w:color w:val="000000"/>
        </w:rPr>
        <w:t>Pour les agents à temps plein sur une année pleine, une personne est égale à une unité.</w:t>
      </w:r>
    </w:p>
    <w:p w14:paraId="2707B470" w14:textId="77777777" w:rsidR="009F3A48" w:rsidRPr="00664366" w:rsidRDefault="009F3A48" w:rsidP="009F3A48">
      <w:pPr>
        <w:pStyle w:val="Paragraphedeliste"/>
        <w:numPr>
          <w:ilvl w:val="0"/>
          <w:numId w:val="8"/>
        </w:numPr>
        <w:spacing w:after="120"/>
        <w:jc w:val="both"/>
        <w:rPr>
          <w:color w:val="000000"/>
        </w:rPr>
      </w:pPr>
      <w:r w:rsidRPr="00664366">
        <w:rPr>
          <w:color w:val="000000"/>
        </w:rPr>
        <w:t>Exemple : 1 agent ayant travaillé une année complète à temps plein = 1 ETPR</w:t>
      </w:r>
    </w:p>
    <w:p w14:paraId="6DA203C0" w14:textId="77777777" w:rsidR="009F3A48" w:rsidRPr="00664366" w:rsidRDefault="009F3A48" w:rsidP="009F3A48">
      <w:pPr>
        <w:pStyle w:val="Paragraphedeliste"/>
        <w:numPr>
          <w:ilvl w:val="0"/>
          <w:numId w:val="8"/>
        </w:numPr>
        <w:spacing w:after="120"/>
        <w:jc w:val="both"/>
        <w:rPr>
          <w:color w:val="000000"/>
        </w:rPr>
      </w:pPr>
      <w:r w:rsidRPr="00664366">
        <w:rPr>
          <w:color w:val="000000"/>
        </w:rPr>
        <w:t>Exemple : 1 agent ayant travaillé 6 mois à temps plein = 0,5 ETPR</w:t>
      </w:r>
    </w:p>
    <w:p w14:paraId="7B76DF7F" w14:textId="77777777" w:rsidR="009F3A48" w:rsidRPr="00664366" w:rsidRDefault="009F3A48" w:rsidP="009F3A48">
      <w:pPr>
        <w:pStyle w:val="Paragraphedeliste"/>
        <w:numPr>
          <w:ilvl w:val="0"/>
          <w:numId w:val="14"/>
        </w:numPr>
        <w:spacing w:before="240"/>
        <w:ind w:left="284" w:hanging="284"/>
        <w:contextualSpacing w:val="0"/>
        <w:jc w:val="both"/>
        <w:rPr>
          <w:color w:val="000000"/>
        </w:rPr>
      </w:pPr>
      <w:r w:rsidRPr="00664366">
        <w:rPr>
          <w:color w:val="000000"/>
        </w:rPr>
        <w:t>Pour les agents à temps partiel :</w:t>
      </w:r>
    </w:p>
    <w:p w14:paraId="1A6909FE" w14:textId="77777777" w:rsidR="009F3A48" w:rsidRPr="00664366" w:rsidRDefault="009F3A48" w:rsidP="009F3A48">
      <w:pPr>
        <w:jc w:val="both"/>
        <w:rPr>
          <w:color w:val="000000"/>
        </w:rPr>
      </w:pPr>
      <w:r w:rsidRPr="00664366">
        <w:rPr>
          <w:color w:val="000000"/>
        </w:rPr>
        <w:t xml:space="preserve">Il convient de ramener l’ETPR au temps de présence de l’agent sur l’année. </w:t>
      </w:r>
    </w:p>
    <w:p w14:paraId="4AB11CAE" w14:textId="77777777" w:rsidR="009F3A48" w:rsidRPr="00664366" w:rsidRDefault="009F3A48" w:rsidP="009F3A48">
      <w:pPr>
        <w:jc w:val="both"/>
        <w:rPr>
          <w:color w:val="000000"/>
        </w:rPr>
      </w:pPr>
      <w:r w:rsidRPr="00664366">
        <w:rPr>
          <w:color w:val="000000"/>
        </w:rPr>
        <w:t>Attention, l’ETPR ne prend pas en compte la sur-rémunération dont bénéficient les agents exerçant à temps partiel.</w:t>
      </w:r>
    </w:p>
    <w:p w14:paraId="07A61D06" w14:textId="77777777" w:rsidR="009F3A48" w:rsidRPr="00664366" w:rsidRDefault="009F3A48" w:rsidP="009F3A48">
      <w:pPr>
        <w:pStyle w:val="Paragraphedeliste"/>
        <w:numPr>
          <w:ilvl w:val="0"/>
          <w:numId w:val="8"/>
        </w:numPr>
        <w:spacing w:after="120"/>
        <w:jc w:val="both"/>
        <w:rPr>
          <w:color w:val="000000"/>
        </w:rPr>
      </w:pPr>
      <w:r w:rsidRPr="00664366">
        <w:rPr>
          <w:color w:val="000000"/>
        </w:rPr>
        <w:t xml:space="preserve">Exemple : 1 agent employé toute l’année à 80 % correspond à 0,80 ETPR. </w:t>
      </w:r>
    </w:p>
    <w:p w14:paraId="0AB4328B" w14:textId="77777777" w:rsidR="009F3A48" w:rsidRPr="00664366" w:rsidRDefault="009F3A48" w:rsidP="009F3A48">
      <w:pPr>
        <w:pStyle w:val="Paragraphedeliste"/>
        <w:numPr>
          <w:ilvl w:val="0"/>
          <w:numId w:val="8"/>
        </w:numPr>
        <w:spacing w:after="120"/>
        <w:jc w:val="both"/>
        <w:rPr>
          <w:color w:val="000000"/>
        </w:rPr>
      </w:pPr>
      <w:r w:rsidRPr="00664366">
        <w:rPr>
          <w:color w:val="000000"/>
        </w:rPr>
        <w:t xml:space="preserve">Exemple : 1 agent employé sur 6 mois à 80 % = 0,80 x 6/12 = 0,40 ETPR. </w:t>
      </w:r>
    </w:p>
    <w:p w14:paraId="3E03BD49" w14:textId="77777777" w:rsidR="009F3A48" w:rsidRPr="00664366" w:rsidRDefault="009F3A48" w:rsidP="009F3A48">
      <w:pPr>
        <w:pStyle w:val="Paragraphedeliste"/>
        <w:numPr>
          <w:ilvl w:val="0"/>
          <w:numId w:val="8"/>
        </w:numPr>
        <w:spacing w:after="120"/>
        <w:jc w:val="both"/>
        <w:rPr>
          <w:color w:val="000000"/>
        </w:rPr>
      </w:pPr>
      <w:r w:rsidRPr="00664366">
        <w:rPr>
          <w:color w:val="000000"/>
        </w:rPr>
        <w:t xml:space="preserve">Exemple : 1 agent employé sur 6 mois à 80 % et 6 mois à temps complet = </w:t>
      </w:r>
    </w:p>
    <w:p w14:paraId="30817B9A" w14:textId="77777777" w:rsidR="009F3A48" w:rsidRPr="00664366" w:rsidRDefault="009F3A48" w:rsidP="009F3A48">
      <w:pPr>
        <w:pStyle w:val="Paragraphedeliste"/>
        <w:spacing w:after="120"/>
        <w:jc w:val="both"/>
        <w:rPr>
          <w:color w:val="000000"/>
        </w:rPr>
      </w:pPr>
      <w:r w:rsidRPr="00664366">
        <w:rPr>
          <w:color w:val="000000"/>
        </w:rPr>
        <w:t>(0,80 x 6/12) + (1 x 6/</w:t>
      </w:r>
      <w:proofErr w:type="gramStart"/>
      <w:r w:rsidRPr="00664366">
        <w:rPr>
          <w:color w:val="000000"/>
        </w:rPr>
        <w:t>12)=</w:t>
      </w:r>
      <w:proofErr w:type="gramEnd"/>
      <w:r w:rsidRPr="00664366">
        <w:rPr>
          <w:color w:val="000000"/>
        </w:rPr>
        <w:t xml:space="preserve"> 0,90 ETPR. </w:t>
      </w:r>
    </w:p>
    <w:p w14:paraId="726F93DD" w14:textId="77777777" w:rsidR="009F3A48" w:rsidRPr="00664366" w:rsidRDefault="009F3A48" w:rsidP="009F3A48">
      <w:pPr>
        <w:pStyle w:val="Paragraphedeliste"/>
        <w:spacing w:after="120"/>
        <w:jc w:val="both"/>
        <w:rPr>
          <w:color w:val="000000"/>
        </w:rPr>
      </w:pPr>
    </w:p>
    <w:p w14:paraId="3D888C15" w14:textId="77777777" w:rsidR="009F3A48" w:rsidRPr="00664366" w:rsidRDefault="009F3A48" w:rsidP="009F3A48">
      <w:pPr>
        <w:pStyle w:val="Paragraphedeliste"/>
        <w:numPr>
          <w:ilvl w:val="0"/>
          <w:numId w:val="14"/>
        </w:numPr>
        <w:spacing w:after="120"/>
        <w:ind w:left="284" w:hanging="284"/>
        <w:jc w:val="both"/>
        <w:rPr>
          <w:color w:val="000000"/>
        </w:rPr>
      </w:pPr>
      <w:r w:rsidRPr="00664366">
        <w:rPr>
          <w:rFonts w:cstheme="minorHAnsi"/>
          <w:szCs w:val="24"/>
        </w:rPr>
        <w:t>Pour les agents à temps partiel thérapeutique :</w:t>
      </w:r>
    </w:p>
    <w:p w14:paraId="3A72D2C7" w14:textId="77777777" w:rsidR="009F3A48" w:rsidRPr="00664366" w:rsidRDefault="009F3A48" w:rsidP="009F3A48">
      <w:pPr>
        <w:pStyle w:val="Paragraphedeliste"/>
        <w:numPr>
          <w:ilvl w:val="0"/>
          <w:numId w:val="8"/>
        </w:numPr>
        <w:jc w:val="both"/>
        <w:rPr>
          <w:rFonts w:cstheme="minorHAnsi"/>
          <w:szCs w:val="24"/>
        </w:rPr>
      </w:pPr>
      <w:r w:rsidRPr="00664366">
        <w:rPr>
          <w:rFonts w:cstheme="minorHAnsi"/>
          <w:szCs w:val="24"/>
        </w:rPr>
        <w:t>Les personnes à temps partiel thérapeutique toute l’année comptent pour 1 ETP.</w:t>
      </w:r>
    </w:p>
    <w:p w14:paraId="620CEB44" w14:textId="77777777" w:rsidR="009F3A48" w:rsidRPr="00664366" w:rsidRDefault="009F3A48" w:rsidP="009F3A48">
      <w:pPr>
        <w:pStyle w:val="Paragraphedeliste"/>
        <w:numPr>
          <w:ilvl w:val="0"/>
          <w:numId w:val="14"/>
        </w:numPr>
        <w:spacing w:before="240"/>
        <w:ind w:left="284" w:hanging="284"/>
        <w:contextualSpacing w:val="0"/>
        <w:jc w:val="both"/>
        <w:rPr>
          <w:color w:val="000000"/>
        </w:rPr>
      </w:pPr>
      <w:r w:rsidRPr="00664366">
        <w:rPr>
          <w:color w:val="000000"/>
        </w:rPr>
        <w:t>Pour les agents à temps non complet, il s’agit de diviser le nombre d’heures de l’emploi concerné par le nombre d’heures d’un temps complet (35 heures pour la semaine), en calculant son temps de présence sur l’année.</w:t>
      </w:r>
    </w:p>
    <w:p w14:paraId="24AA7AC7" w14:textId="70290928" w:rsidR="009F3A48" w:rsidRPr="00664366" w:rsidRDefault="009F3A48" w:rsidP="009F3A48">
      <w:pPr>
        <w:pStyle w:val="Paragraphedeliste"/>
        <w:numPr>
          <w:ilvl w:val="0"/>
          <w:numId w:val="7"/>
        </w:numPr>
        <w:jc w:val="both"/>
        <w:rPr>
          <w:color w:val="000000"/>
        </w:rPr>
      </w:pPr>
      <w:r w:rsidRPr="00664366">
        <w:rPr>
          <w:color w:val="000000"/>
        </w:rPr>
        <w:t>Exemple : 1 agent ayant travaillé une année complète à raison de 16 heures par semaine</w:t>
      </w:r>
      <w:r w:rsidR="00DD542C">
        <w:rPr>
          <w:color w:val="000000"/>
        </w:rPr>
        <w:t xml:space="preserve"> </w:t>
      </w:r>
      <w:r w:rsidRPr="00664366">
        <w:rPr>
          <w:color w:val="000000"/>
        </w:rPr>
        <w:t>: 16 / 35 = 0,46 ETPR.</w:t>
      </w:r>
    </w:p>
    <w:p w14:paraId="3B34ED6C" w14:textId="77777777" w:rsidR="009F3A48" w:rsidRPr="00664366" w:rsidRDefault="009F3A48" w:rsidP="009F3A48">
      <w:pPr>
        <w:pStyle w:val="Paragraphedeliste"/>
        <w:numPr>
          <w:ilvl w:val="0"/>
          <w:numId w:val="7"/>
        </w:numPr>
        <w:jc w:val="both"/>
        <w:rPr>
          <w:color w:val="000000"/>
        </w:rPr>
      </w:pPr>
      <w:r w:rsidRPr="00664366">
        <w:rPr>
          <w:color w:val="000000"/>
        </w:rPr>
        <w:lastRenderedPageBreak/>
        <w:t>Exemple : 1 agent ayant travaillé 8 mois au total sur l’année à raison de 16 heures par semaine : (16/35) x (8/12) = 0,30 ETPR.</w:t>
      </w:r>
    </w:p>
    <w:p w14:paraId="78852CDC" w14:textId="77777777" w:rsidR="009F3A48" w:rsidRPr="00664366" w:rsidRDefault="009F3A48" w:rsidP="009F3A48">
      <w:pPr>
        <w:pStyle w:val="Paragraphedeliste"/>
        <w:jc w:val="both"/>
        <w:rPr>
          <w:color w:val="000000"/>
        </w:rPr>
      </w:pPr>
    </w:p>
    <w:p w14:paraId="2816F1F4" w14:textId="3380F1B0" w:rsidR="009F3A48" w:rsidRPr="00664366" w:rsidRDefault="009F3A48" w:rsidP="009F3A48">
      <w:pPr>
        <w:pStyle w:val="Paragraphedeliste"/>
        <w:numPr>
          <w:ilvl w:val="0"/>
          <w:numId w:val="14"/>
        </w:numPr>
        <w:jc w:val="both"/>
        <w:rPr>
          <w:color w:val="000000"/>
        </w:rPr>
      </w:pPr>
      <w:r w:rsidRPr="00664366">
        <w:rPr>
          <w:color w:val="000000"/>
        </w:rPr>
        <w:t xml:space="preserve">Pour </w:t>
      </w:r>
      <w:r w:rsidR="00B9604E" w:rsidRPr="00444D3A">
        <w:rPr>
          <w:color w:val="000000"/>
        </w:rPr>
        <w:t>l</w:t>
      </w:r>
      <w:r w:rsidRPr="00444D3A">
        <w:rPr>
          <w:color w:val="000000"/>
        </w:rPr>
        <w:t xml:space="preserve">es </w:t>
      </w:r>
      <w:r w:rsidR="00B9604E" w:rsidRPr="00444D3A">
        <w:rPr>
          <w:color w:val="000000"/>
        </w:rPr>
        <w:t>vacataires, étant donné</w:t>
      </w:r>
      <w:r w:rsidR="00B9604E">
        <w:rPr>
          <w:color w:val="000000"/>
        </w:rPr>
        <w:t xml:space="preserve"> </w:t>
      </w:r>
      <w:r w:rsidRPr="00664366">
        <w:rPr>
          <w:color w:val="000000"/>
        </w:rPr>
        <w:t>qu</w:t>
      </w:r>
      <w:r w:rsidR="00B9604E">
        <w:rPr>
          <w:color w:val="000000"/>
        </w:rPr>
        <w:t>’ils</w:t>
      </w:r>
      <w:r w:rsidRPr="00664366">
        <w:rPr>
          <w:color w:val="000000"/>
        </w:rPr>
        <w:t xml:space="preserve"> ne sont pas rémunérés à l’heure mais à la tâche (exemple des pigistes rémunérés à la page), il vous est conseillé de calculer un nombre d’heure</w:t>
      </w:r>
      <w:r w:rsidR="00983E6F">
        <w:rPr>
          <w:color w:val="000000"/>
        </w:rPr>
        <w:t>s</w:t>
      </w:r>
      <w:r w:rsidRPr="00664366">
        <w:rPr>
          <w:color w:val="000000"/>
        </w:rPr>
        <w:t xml:space="preserve"> en divisant leur rémunération par le taux horaire du SMIC.</w:t>
      </w:r>
    </w:p>
    <w:p w14:paraId="134CE533" w14:textId="77777777" w:rsidR="009F3A48" w:rsidRPr="00664366" w:rsidRDefault="009F3A48" w:rsidP="009F3A48">
      <w:pPr>
        <w:jc w:val="both"/>
        <w:rPr>
          <w:color w:val="000000"/>
        </w:rPr>
      </w:pPr>
    </w:p>
    <w:p w14:paraId="08019AEA" w14:textId="77777777" w:rsidR="009F3A48" w:rsidRPr="00664366" w:rsidRDefault="009F3A48" w:rsidP="009F3A48">
      <w:pPr>
        <w:jc w:val="both"/>
        <w:rPr>
          <w:color w:val="000000"/>
        </w:rPr>
      </w:pPr>
      <w:r w:rsidRPr="00664366">
        <w:rPr>
          <w:color w:val="000000"/>
        </w:rPr>
        <w:t>Il conviendra ensuite d’additionner l’ensemble des ETPR de votre collectivité sur l’année 2021.</w:t>
      </w:r>
    </w:p>
    <w:p w14:paraId="40A0BE20" w14:textId="77777777" w:rsidR="009F3A48" w:rsidRPr="00664366" w:rsidRDefault="009F3A48" w:rsidP="009F3A48">
      <w:pPr>
        <w:pStyle w:val="Paragraphedeliste"/>
        <w:numPr>
          <w:ilvl w:val="0"/>
          <w:numId w:val="7"/>
        </w:numPr>
        <w:spacing w:after="120"/>
        <w:jc w:val="both"/>
        <w:rPr>
          <w:color w:val="000000"/>
        </w:rPr>
      </w:pPr>
      <w:r w:rsidRPr="00664366">
        <w:rPr>
          <w:color w:val="000000"/>
        </w:rPr>
        <w:t>Exemple : 1 agent à temps complet (1 ETPR) + 2 agents à temps partiel à 80 % (2 x 0,80 = 1,60 ETPR) + 1 agent travaillant 16 heures par semaine (16 / 35 = 0,46) soit sur une année complète : 1 + 1,60+ 0,46 = 3,06 ETPR</w:t>
      </w:r>
    </w:p>
    <w:p w14:paraId="71AAB786" w14:textId="77777777" w:rsidR="009F3A48" w:rsidRPr="00664366" w:rsidRDefault="009F3A48" w:rsidP="009F3A48">
      <w:pPr>
        <w:jc w:val="both"/>
        <w:rPr>
          <w:color w:val="000000"/>
        </w:rPr>
      </w:pPr>
      <w:r w:rsidRPr="00664366">
        <w:rPr>
          <w:color w:val="000000"/>
        </w:rPr>
        <w:t xml:space="preserve">Si vous utilisez l’extraction issue de la Déclaration Sociale Unique (DSN), ou à défaut de la Norme 4DS (DADSU), cette information est </w:t>
      </w:r>
      <w:proofErr w:type="spellStart"/>
      <w:r w:rsidRPr="00664366">
        <w:rPr>
          <w:color w:val="000000"/>
        </w:rPr>
        <w:t>pré-remplie</w:t>
      </w:r>
      <w:proofErr w:type="spellEnd"/>
      <w:r w:rsidRPr="00664366">
        <w:rPr>
          <w:color w:val="000000"/>
        </w:rPr>
        <w:t xml:space="preserve"> automatiquement. A défaut, elle peut être extraite directement du logiciel de paie.</w:t>
      </w:r>
    </w:p>
    <w:p w14:paraId="3D4F9115" w14:textId="77777777" w:rsidR="009F3A48" w:rsidRPr="00664366" w:rsidRDefault="009F3A48" w:rsidP="009F3A48">
      <w:pPr>
        <w:jc w:val="both"/>
        <w:rPr>
          <w:color w:val="000000"/>
        </w:rPr>
      </w:pPr>
    </w:p>
    <w:p w14:paraId="307DA0C8" w14:textId="77777777" w:rsidR="009F3A48" w:rsidRPr="00664366" w:rsidRDefault="009F3A48" w:rsidP="009F3A48">
      <w:pPr>
        <w:jc w:val="both"/>
        <w:rPr>
          <w:b/>
          <w:color w:val="00B0F0"/>
          <w:szCs w:val="24"/>
        </w:rPr>
      </w:pPr>
      <w:r w:rsidRPr="00664366">
        <w:rPr>
          <w:b/>
          <w:color w:val="00B0F0"/>
          <w:szCs w:val="24"/>
        </w:rPr>
        <w:t xml:space="preserve">Comment renseigner le nombre d’agents en équivalent temps plein rémunéré (ETPR) des agents de la filière culturelle ? </w:t>
      </w:r>
    </w:p>
    <w:p w14:paraId="5E8DDD70" w14:textId="6FB7E2C3" w:rsidR="009F3A48" w:rsidRPr="00664366" w:rsidRDefault="009F3A48" w:rsidP="009F3A48">
      <w:pPr>
        <w:jc w:val="both"/>
        <w:rPr>
          <w:rFonts w:cs="Arial"/>
          <w:i/>
          <w:color w:val="E36C0A" w:themeColor="accent6" w:themeShade="BF"/>
          <w:szCs w:val="24"/>
        </w:rPr>
      </w:pPr>
      <w:r w:rsidRPr="00664366">
        <w:rPr>
          <w:rFonts w:cs="Arial"/>
          <w:i/>
          <w:color w:val="E36C0A" w:themeColor="accent6" w:themeShade="BF"/>
          <w:szCs w:val="24"/>
        </w:rPr>
        <w:t xml:space="preserve">Indicateurs 1.1.4 / 1.2.4 </w:t>
      </w:r>
    </w:p>
    <w:p w14:paraId="03750827" w14:textId="7EB4B524" w:rsidR="009F3A48" w:rsidRPr="00664366" w:rsidRDefault="009F3A48" w:rsidP="009F3A48">
      <w:pPr>
        <w:jc w:val="both"/>
        <w:rPr>
          <w:color w:val="000000"/>
        </w:rPr>
      </w:pPr>
      <w:r w:rsidRPr="00664366">
        <w:rPr>
          <w:color w:val="000000"/>
        </w:rPr>
        <w:t>Un(e) assistant(e) d'enseignement artistique travaillant 20h hebdomadaire (temps plein de référence) correspond à 1 ETPR (base 35 heures rémunérées). Un(e) professeur(e) d'enseignement artistique travaillant 16h hebdomadaire (temps plein de référence) correspond à 1 ETPR. Pour calculer l’ETPR de ces deux cadres d’emploi</w:t>
      </w:r>
      <w:r w:rsidR="0021447F">
        <w:rPr>
          <w:color w:val="000000"/>
        </w:rPr>
        <w:t>s</w:t>
      </w:r>
      <w:r w:rsidRPr="00664366">
        <w:rPr>
          <w:color w:val="000000"/>
        </w:rPr>
        <w:t>, il faut prendre pour base de calcul le temps plein de référence correspondant. Ainsi, un professeur d’enseignement artistique travaillant 8 heures par semaine tout au long de l’année correspond à 0,5 ETPR (8/16).</w:t>
      </w:r>
    </w:p>
    <w:p w14:paraId="3BC67A50" w14:textId="77777777" w:rsidR="009F3A48" w:rsidRPr="00664366" w:rsidRDefault="009F3A48" w:rsidP="009F3A48">
      <w:pPr>
        <w:jc w:val="both"/>
        <w:rPr>
          <w:color w:val="000000"/>
        </w:rPr>
      </w:pPr>
    </w:p>
    <w:p w14:paraId="484F271A" w14:textId="77777777" w:rsidR="009F3A48" w:rsidRPr="00664366" w:rsidRDefault="009F3A48" w:rsidP="009F3A48">
      <w:pPr>
        <w:jc w:val="both"/>
        <w:rPr>
          <w:b/>
          <w:color w:val="00B0F0"/>
        </w:rPr>
      </w:pPr>
      <w:r w:rsidRPr="00664366">
        <w:rPr>
          <w:b/>
          <w:color w:val="00B0F0"/>
        </w:rPr>
        <w:t>Quels sont les fonctionnaires devant être recensés ?</w:t>
      </w:r>
    </w:p>
    <w:p w14:paraId="1F9BFAB2" w14:textId="77777777" w:rsidR="009F3A48" w:rsidRPr="00664366" w:rsidRDefault="009F3A48" w:rsidP="009F3A48">
      <w:pPr>
        <w:jc w:val="both"/>
        <w:rPr>
          <w:i/>
          <w:color w:val="E36C0A" w:themeColor="accent6" w:themeShade="BF"/>
        </w:rPr>
      </w:pPr>
      <w:r w:rsidRPr="00664366">
        <w:rPr>
          <w:i/>
          <w:color w:val="E36C0A" w:themeColor="accent6" w:themeShade="BF"/>
        </w:rPr>
        <w:t>Indicateur 1.1.1</w:t>
      </w:r>
    </w:p>
    <w:p w14:paraId="3DED47DF" w14:textId="77777777" w:rsidR="009F3A48" w:rsidRPr="00664366" w:rsidRDefault="009F3A48" w:rsidP="009F3A48">
      <w:pPr>
        <w:jc w:val="both"/>
        <w:rPr>
          <w:rFonts w:cstheme="minorHAnsi"/>
          <w:szCs w:val="24"/>
        </w:rPr>
      </w:pPr>
      <w:r w:rsidRPr="00664366">
        <w:rPr>
          <w:rFonts w:cstheme="minorHAnsi"/>
          <w:szCs w:val="24"/>
        </w:rPr>
        <w:t>Les fonctionnaires qui sont rémunérés jusqu’au 31/12 et prennent leur retraite le 01/01 doivent bien être comptabilisés dans l’</w:t>
      </w:r>
      <w:r w:rsidRPr="00664366">
        <w:rPr>
          <w:i/>
          <w:color w:val="E36C0A" w:themeColor="accent6" w:themeShade="BF"/>
        </w:rPr>
        <w:t>indicateur 1.1.1</w:t>
      </w:r>
      <w:r w:rsidRPr="00664366">
        <w:rPr>
          <w:rFonts w:cstheme="minorHAnsi"/>
          <w:szCs w:val="24"/>
        </w:rPr>
        <w:t xml:space="preserve">. Ils ne doivent pas figurer dans les départs de 2021. </w:t>
      </w:r>
    </w:p>
    <w:p w14:paraId="52EAFB3F" w14:textId="77777777" w:rsidR="009F3A48" w:rsidRPr="00664366" w:rsidRDefault="009F3A48" w:rsidP="009F3A48">
      <w:pPr>
        <w:jc w:val="both"/>
        <w:rPr>
          <w:rFonts w:cstheme="minorHAnsi"/>
          <w:szCs w:val="24"/>
        </w:rPr>
      </w:pPr>
      <w:r w:rsidRPr="00664366">
        <w:rPr>
          <w:rFonts w:cstheme="minorHAnsi"/>
          <w:szCs w:val="24"/>
        </w:rPr>
        <w:t>Un agent en détachement sur un emploi fonctionnel de DGA doit être comptabilisé dans son cadre d'emplois et grade d’origine. Les agents détachés d’un corps de la fonction publique d’Etat ou de la fonction publique hospitalière sont à renseigner dans un grade de la fonction publique territoriale équivalent à leur grade d’origine.</w:t>
      </w:r>
    </w:p>
    <w:p w14:paraId="1BB5736F" w14:textId="77777777" w:rsidR="009F3A48" w:rsidRPr="00664366" w:rsidRDefault="009F3A48" w:rsidP="009F3A48">
      <w:pPr>
        <w:jc w:val="both"/>
        <w:rPr>
          <w:color w:val="000000"/>
        </w:rPr>
      </w:pPr>
    </w:p>
    <w:p w14:paraId="1B1A311C" w14:textId="77777777" w:rsidR="009F3A48" w:rsidRPr="00664366" w:rsidRDefault="009F3A48" w:rsidP="009F3A48">
      <w:pPr>
        <w:jc w:val="both"/>
        <w:rPr>
          <w:b/>
          <w:color w:val="00B0F0"/>
        </w:rPr>
      </w:pPr>
      <w:r w:rsidRPr="00664366">
        <w:rPr>
          <w:b/>
          <w:color w:val="00B0F0"/>
        </w:rPr>
        <w:t xml:space="preserve">Les agents en congé spécial sont-ils à recenser à </w:t>
      </w:r>
      <w:r w:rsidRPr="00664366">
        <w:rPr>
          <w:color w:val="E36C0A" w:themeColor="accent6" w:themeShade="BF"/>
        </w:rPr>
        <w:t>l’indicateur 1.1.1</w:t>
      </w:r>
      <w:r w:rsidRPr="00664366">
        <w:rPr>
          <w:b/>
          <w:color w:val="00B0F0"/>
        </w:rPr>
        <w:t> ?</w:t>
      </w:r>
    </w:p>
    <w:p w14:paraId="56DAB319" w14:textId="77777777" w:rsidR="009F3A48" w:rsidRPr="00664366" w:rsidRDefault="009F3A48" w:rsidP="009F3A48">
      <w:pPr>
        <w:jc w:val="both"/>
        <w:rPr>
          <w:color w:val="000000"/>
        </w:rPr>
      </w:pPr>
      <w:r w:rsidRPr="00664366">
        <w:t>Non.</w:t>
      </w:r>
      <w:r w:rsidRPr="00664366">
        <w:rPr>
          <w:color w:val="000000"/>
        </w:rPr>
        <w:t xml:space="preserve"> Les agents en congé spécial ne peuvent pas être regardés comme occupant un emploi permanent. Ils ne sont pas non plus en activité mais dans une position statutaire particulière (Avis du Conseil d’Etat du 8 novembre 1961). En revanche, ils doivent être renseignés à </w:t>
      </w:r>
      <w:r w:rsidRPr="00664366">
        <w:rPr>
          <w:i/>
          <w:color w:val="E36C0A" w:themeColor="accent6" w:themeShade="BF"/>
        </w:rPr>
        <w:t>l’indicateur 1.4.1</w:t>
      </w:r>
      <w:r w:rsidRPr="00664366">
        <w:rPr>
          <w:color w:val="000000"/>
        </w:rPr>
        <w:t xml:space="preserve"> qui concerne les agents placés dans une position statutaire particulière.</w:t>
      </w:r>
    </w:p>
    <w:p w14:paraId="1F159B34" w14:textId="77777777" w:rsidR="009F3A48" w:rsidRPr="00664366" w:rsidRDefault="009F3A48" w:rsidP="009F3A48">
      <w:pPr>
        <w:jc w:val="both"/>
        <w:rPr>
          <w:color w:val="000000"/>
        </w:rPr>
      </w:pPr>
    </w:p>
    <w:p w14:paraId="1AEFDA8E" w14:textId="77777777" w:rsidR="009F3A48" w:rsidRPr="00664366" w:rsidRDefault="009F3A48" w:rsidP="009F3A48">
      <w:pPr>
        <w:jc w:val="both"/>
        <w:rPr>
          <w:b/>
          <w:color w:val="00B0F0"/>
          <w:szCs w:val="24"/>
        </w:rPr>
      </w:pPr>
      <w:r w:rsidRPr="00664366">
        <w:rPr>
          <w:b/>
          <w:color w:val="00B0F0"/>
          <w:szCs w:val="24"/>
        </w:rPr>
        <w:t>Faut-il prendre en compte les heures supplémentaires et complémentaires dans le calcul des ETPR ?</w:t>
      </w:r>
    </w:p>
    <w:p w14:paraId="7EA04A0E" w14:textId="77777777" w:rsidR="009F3A48" w:rsidRPr="00664366" w:rsidRDefault="009F3A48" w:rsidP="009F3A48">
      <w:pPr>
        <w:jc w:val="both"/>
        <w:rPr>
          <w:rFonts w:cs="Arial"/>
          <w:i/>
          <w:color w:val="E36C0A" w:themeColor="accent6" w:themeShade="BF"/>
          <w:szCs w:val="24"/>
        </w:rPr>
      </w:pPr>
      <w:r w:rsidRPr="00664366">
        <w:rPr>
          <w:rFonts w:cs="Arial"/>
          <w:i/>
          <w:color w:val="E36C0A" w:themeColor="accent6" w:themeShade="BF"/>
          <w:szCs w:val="24"/>
        </w:rPr>
        <w:t xml:space="preserve">Indicateurs 1.1.4 / 1.2.4 / 1.3.1 </w:t>
      </w:r>
    </w:p>
    <w:p w14:paraId="6645FE6F" w14:textId="77777777" w:rsidR="009F3A48" w:rsidRPr="00664366" w:rsidRDefault="009F3A48" w:rsidP="009F3A48">
      <w:pPr>
        <w:jc w:val="both"/>
        <w:rPr>
          <w:color w:val="000000"/>
        </w:rPr>
      </w:pPr>
      <w:r w:rsidRPr="00664366">
        <w:rPr>
          <w:color w:val="000000"/>
        </w:rPr>
        <w:t xml:space="preserve">Les heures supplémentaires et complémentaires effectuées par l’agent ne sont pas à intégrer au calcul de l’ETPR. </w:t>
      </w:r>
    </w:p>
    <w:p w14:paraId="263ED233" w14:textId="77777777" w:rsidR="009F3A48" w:rsidRPr="00664366" w:rsidRDefault="009F3A48" w:rsidP="009F3A48">
      <w:pPr>
        <w:jc w:val="both"/>
        <w:rPr>
          <w:color w:val="000000"/>
        </w:rPr>
      </w:pPr>
    </w:p>
    <w:p w14:paraId="5312BB41" w14:textId="77777777" w:rsidR="009F3A48" w:rsidRPr="00664366" w:rsidRDefault="009F3A48" w:rsidP="009F3A48">
      <w:pPr>
        <w:jc w:val="both"/>
        <w:rPr>
          <w:b/>
          <w:color w:val="00B0F0"/>
          <w:szCs w:val="24"/>
        </w:rPr>
      </w:pPr>
      <w:r w:rsidRPr="00664366">
        <w:rPr>
          <w:b/>
          <w:color w:val="00B0F0"/>
          <w:szCs w:val="24"/>
        </w:rPr>
        <w:t>Faut-il prendre en compte les congés dans le calcul des ETPR ?</w:t>
      </w:r>
    </w:p>
    <w:p w14:paraId="10A68675" w14:textId="77777777" w:rsidR="009F3A48" w:rsidRPr="00664366" w:rsidRDefault="009F3A48" w:rsidP="009F3A48">
      <w:pPr>
        <w:jc w:val="both"/>
        <w:rPr>
          <w:rFonts w:cs="Arial"/>
          <w:i/>
          <w:color w:val="E36C0A" w:themeColor="accent6" w:themeShade="BF"/>
          <w:szCs w:val="24"/>
        </w:rPr>
      </w:pPr>
      <w:r w:rsidRPr="00664366">
        <w:rPr>
          <w:rFonts w:cs="Arial"/>
          <w:i/>
          <w:color w:val="E36C0A" w:themeColor="accent6" w:themeShade="BF"/>
          <w:szCs w:val="24"/>
        </w:rPr>
        <w:t xml:space="preserve">Indicateurs 1.1.4 </w:t>
      </w:r>
      <w:proofErr w:type="gramStart"/>
      <w:r w:rsidRPr="00664366">
        <w:rPr>
          <w:rFonts w:cs="Arial"/>
          <w:i/>
          <w:color w:val="E36C0A" w:themeColor="accent6" w:themeShade="BF"/>
          <w:szCs w:val="24"/>
        </w:rPr>
        <w:t>/  1.2.4</w:t>
      </w:r>
      <w:proofErr w:type="gramEnd"/>
      <w:r w:rsidRPr="00664366">
        <w:rPr>
          <w:rFonts w:cs="Arial"/>
          <w:i/>
          <w:color w:val="E36C0A" w:themeColor="accent6" w:themeShade="BF"/>
          <w:szCs w:val="24"/>
        </w:rPr>
        <w:t xml:space="preserve"> / 1.3.1 </w:t>
      </w:r>
    </w:p>
    <w:p w14:paraId="5F80E1D0" w14:textId="77777777" w:rsidR="009F3A48" w:rsidRPr="00664366" w:rsidRDefault="009F3A48" w:rsidP="009F3A48">
      <w:pPr>
        <w:jc w:val="both"/>
        <w:rPr>
          <w:color w:val="000000"/>
        </w:rPr>
      </w:pPr>
      <w:r w:rsidRPr="00664366">
        <w:rPr>
          <w:color w:val="000000"/>
        </w:rPr>
        <w:lastRenderedPageBreak/>
        <w:t>Oui, les périodes d’activités rémunérées sont incluses dans le calcul (congés, absence…). Néanmoins, les congés payés qui ne sont pas pris par les agents mais qui leur sont rémunérés ne doivent pas être comptés dans les ETPR (on est bien sur un maximum de 1 820 heures pour un agent à temps complet).</w:t>
      </w:r>
    </w:p>
    <w:p w14:paraId="6E63C1F3" w14:textId="77777777" w:rsidR="009F3A48" w:rsidRPr="00664366" w:rsidRDefault="009F3A48" w:rsidP="009F3A48">
      <w:pPr>
        <w:jc w:val="both"/>
        <w:rPr>
          <w:color w:val="000000"/>
        </w:rPr>
      </w:pPr>
    </w:p>
    <w:p w14:paraId="04147BDF" w14:textId="77777777" w:rsidR="009F3A48" w:rsidRPr="00664366" w:rsidRDefault="009F3A48" w:rsidP="00E67306">
      <w:pPr>
        <w:contextualSpacing/>
        <w:jc w:val="both"/>
        <w:rPr>
          <w:b/>
          <w:color w:val="00B0F0"/>
          <w:szCs w:val="24"/>
        </w:rPr>
      </w:pPr>
      <w:r w:rsidRPr="00664366">
        <w:rPr>
          <w:b/>
          <w:color w:val="00B0F0"/>
          <w:szCs w:val="24"/>
        </w:rPr>
        <w:t>Quels agents contractuels peuvent figurer sur des emplois permanents ?</w:t>
      </w:r>
    </w:p>
    <w:p w14:paraId="20E0BF67" w14:textId="5E774E55" w:rsidR="009F3A48" w:rsidRPr="00664366" w:rsidRDefault="009F3A48" w:rsidP="00E67306">
      <w:pPr>
        <w:contextualSpacing/>
        <w:jc w:val="both"/>
        <w:rPr>
          <w:rFonts w:cs="Arial"/>
          <w:i/>
          <w:color w:val="E36C0A" w:themeColor="accent6" w:themeShade="BF"/>
          <w:szCs w:val="24"/>
        </w:rPr>
      </w:pPr>
      <w:r w:rsidRPr="00664366">
        <w:rPr>
          <w:rFonts w:cs="Arial"/>
          <w:i/>
          <w:color w:val="E36C0A" w:themeColor="accent6" w:themeShade="BF"/>
          <w:szCs w:val="24"/>
        </w:rPr>
        <w:t xml:space="preserve">Indicateurs 1.2.1 / 1.2.4 </w:t>
      </w:r>
    </w:p>
    <w:p w14:paraId="63986992" w14:textId="77777777" w:rsidR="009F3A48" w:rsidRPr="00664366" w:rsidRDefault="009F3A48" w:rsidP="00E67306">
      <w:pPr>
        <w:contextualSpacing/>
        <w:jc w:val="both"/>
        <w:rPr>
          <w:szCs w:val="24"/>
        </w:rPr>
      </w:pPr>
      <w:r w:rsidRPr="00664366">
        <w:rPr>
          <w:szCs w:val="24"/>
        </w:rPr>
        <w:t>Les agents contractuels ci-après peuvent être recrutés sur un emploi permanent :</w:t>
      </w:r>
    </w:p>
    <w:p w14:paraId="691700EB" w14:textId="77777777" w:rsidR="009F3A48" w:rsidRPr="00664366" w:rsidRDefault="009F3A48" w:rsidP="009F3A48">
      <w:pPr>
        <w:pStyle w:val="Paragraphedeliste"/>
        <w:numPr>
          <w:ilvl w:val="0"/>
          <w:numId w:val="7"/>
        </w:numPr>
        <w:spacing w:after="120"/>
        <w:ind w:left="426"/>
        <w:contextualSpacing w:val="0"/>
        <w:jc w:val="both"/>
        <w:rPr>
          <w:szCs w:val="24"/>
        </w:rPr>
      </w:pPr>
      <w:r w:rsidRPr="00664366">
        <w:rPr>
          <w:szCs w:val="24"/>
        </w:rPr>
        <w:t>Contractuels - Pas de cadre d’emploi existant (article L332-8, 1° du CGFP) : lorsqu'il n'existe pas de cadre d'emplois comportant les fonctions correspondantes.</w:t>
      </w:r>
    </w:p>
    <w:p w14:paraId="328B3361" w14:textId="77777777" w:rsidR="009F3A48" w:rsidRPr="00664366" w:rsidRDefault="009F3A48" w:rsidP="009F3A48">
      <w:pPr>
        <w:pStyle w:val="Paragraphedeliste"/>
        <w:numPr>
          <w:ilvl w:val="0"/>
          <w:numId w:val="7"/>
        </w:numPr>
        <w:spacing w:after="120"/>
        <w:ind w:left="426"/>
        <w:contextualSpacing w:val="0"/>
        <w:jc w:val="both"/>
        <w:rPr>
          <w:szCs w:val="24"/>
        </w:rPr>
      </w:pPr>
      <w:r w:rsidRPr="00664366">
        <w:rPr>
          <w:szCs w:val="24"/>
        </w:rPr>
        <w:t>Contractuels - Selon les fonctions et pour des besoins de service (article L332-8, 2° du CGFP) : lorsque les besoins ou la nature des fonctions le justifient et sous réserve qu'aucun fonctionnaire n'ait pu être recruté.</w:t>
      </w:r>
    </w:p>
    <w:p w14:paraId="213EDB52" w14:textId="77777777" w:rsidR="009F3A48" w:rsidRPr="00664366" w:rsidRDefault="009F3A48" w:rsidP="009F3A48">
      <w:pPr>
        <w:pStyle w:val="Paragraphedeliste"/>
        <w:numPr>
          <w:ilvl w:val="0"/>
          <w:numId w:val="7"/>
        </w:numPr>
        <w:spacing w:after="120"/>
        <w:ind w:left="426"/>
        <w:contextualSpacing w:val="0"/>
        <w:jc w:val="both"/>
        <w:rPr>
          <w:szCs w:val="24"/>
        </w:rPr>
      </w:pPr>
      <w:r w:rsidRPr="00664366">
        <w:rPr>
          <w:szCs w:val="24"/>
        </w:rPr>
        <w:t>Contractuels - Communes de moins de 1 000 habitants (article L332-8, 3° du CGFP) : pour les emplois des communes de moins de 1 000 habitants et des groupements de communes regroupant moins de 15 000 habitants.</w:t>
      </w:r>
    </w:p>
    <w:p w14:paraId="03708C6B" w14:textId="77777777" w:rsidR="009F3A48" w:rsidRPr="00664366" w:rsidRDefault="009F3A48" w:rsidP="009F3A48">
      <w:pPr>
        <w:pStyle w:val="Paragraphedeliste"/>
        <w:numPr>
          <w:ilvl w:val="0"/>
          <w:numId w:val="7"/>
        </w:numPr>
        <w:spacing w:after="120"/>
        <w:ind w:left="426"/>
        <w:contextualSpacing w:val="0"/>
        <w:jc w:val="both"/>
        <w:rPr>
          <w:szCs w:val="24"/>
        </w:rPr>
      </w:pPr>
      <w:r w:rsidRPr="00664366">
        <w:rPr>
          <w:szCs w:val="24"/>
        </w:rPr>
        <w:t>Contractuels - Communes nouvelles issues de la fusion de communes de moins de 1 000 habitants (article L332-8, 4° du CGFP) : pour les emplois des communes nouvelles issues de la fusion de communes de moins de 1 000 habitants, pendant une période de trois années suivant leur création, prolongée, le cas échéant, jusqu'au premier renouvellement de leur conseil municipal suivant cette même création.</w:t>
      </w:r>
    </w:p>
    <w:p w14:paraId="0FC79E1F" w14:textId="77777777" w:rsidR="009F3A48" w:rsidRPr="00664366" w:rsidRDefault="009F3A48" w:rsidP="009F3A48">
      <w:pPr>
        <w:pStyle w:val="Paragraphedeliste"/>
        <w:numPr>
          <w:ilvl w:val="0"/>
          <w:numId w:val="7"/>
        </w:numPr>
        <w:spacing w:after="120"/>
        <w:ind w:left="426"/>
        <w:contextualSpacing w:val="0"/>
        <w:jc w:val="both"/>
        <w:rPr>
          <w:szCs w:val="24"/>
        </w:rPr>
      </w:pPr>
      <w:r w:rsidRPr="00664366">
        <w:rPr>
          <w:szCs w:val="24"/>
        </w:rPr>
        <w:t>Contractuels - Quotité de temps de travail est inférieure à 50 % (article L332-8, 5° du CGFP) : pour les collectivités territoriales ou établissements mentionnés à l'article L. 4, pour tous les emplois à temps non complet lorsque la quotité de temps de travail est inférieure à 50 %.</w:t>
      </w:r>
    </w:p>
    <w:p w14:paraId="7809B60B" w14:textId="77777777" w:rsidR="009F3A48" w:rsidRPr="00664366" w:rsidRDefault="009F3A48" w:rsidP="009F3A48">
      <w:pPr>
        <w:pStyle w:val="Paragraphedeliste"/>
        <w:numPr>
          <w:ilvl w:val="0"/>
          <w:numId w:val="7"/>
        </w:numPr>
        <w:spacing w:after="120"/>
        <w:ind w:left="426"/>
        <w:contextualSpacing w:val="0"/>
        <w:jc w:val="both"/>
        <w:rPr>
          <w:szCs w:val="24"/>
        </w:rPr>
      </w:pPr>
      <w:r w:rsidRPr="00664366">
        <w:rPr>
          <w:szCs w:val="24"/>
        </w:rPr>
        <w:t>Contractuels - Communes de moins de 2 000 habitants (article L332-8, 6° du CGFP) : 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p>
    <w:p w14:paraId="2799B956" w14:textId="77777777" w:rsidR="009F3A48" w:rsidRPr="00664366" w:rsidRDefault="009F3A48" w:rsidP="009F3A48">
      <w:pPr>
        <w:pStyle w:val="Paragraphedeliste"/>
        <w:numPr>
          <w:ilvl w:val="0"/>
          <w:numId w:val="7"/>
        </w:numPr>
        <w:spacing w:after="120"/>
        <w:ind w:left="426"/>
        <w:jc w:val="both"/>
        <w:rPr>
          <w:szCs w:val="24"/>
        </w:rPr>
      </w:pPr>
      <w:r w:rsidRPr="00664366">
        <w:rPr>
          <w:szCs w:val="24"/>
        </w:rPr>
        <w:t>Contractuels - Remplaçants (article L332-13 du CGFP) : pour assurer le remplacement temporaire de fonctionnaires ou d'agents contractuels autorisés à exercer leurs fonctions à temps partiel ou indisponibles en raison d'un congé annuel, d'un congé de maladie, de grave ou de longue maladie, d'un congé de longue durée, d'un congé de maternité ou pour adoption, d'un congé parental ou d'un congé de présence parentale, d'un congé de solidarité familiale ou de l'accomplissement du service civil ou national, du rappel ou du maintien sous les drapeaux ou de leur participation à des activités dans le cadre des réserves opérationnelles, de sécurité civile ou sanitaire ou en raison de tout autre congé régulièrement octroyé en application des dispositions réglementaires applicables aux agents contractuels.</w:t>
      </w:r>
    </w:p>
    <w:p w14:paraId="4F67DD1A" w14:textId="77777777" w:rsidR="009F3A48" w:rsidRPr="00664366" w:rsidRDefault="009F3A48" w:rsidP="009F3A48">
      <w:pPr>
        <w:pStyle w:val="Paragraphedeliste"/>
        <w:numPr>
          <w:ilvl w:val="0"/>
          <w:numId w:val="7"/>
        </w:numPr>
        <w:spacing w:after="120"/>
        <w:ind w:left="426"/>
        <w:jc w:val="both"/>
        <w:rPr>
          <w:szCs w:val="24"/>
        </w:rPr>
      </w:pPr>
      <w:r w:rsidRPr="00664366">
        <w:rPr>
          <w:szCs w:val="24"/>
        </w:rPr>
        <w:t>Contractuels – Vacance d’emploi dans l’attente du recrutement d’un fonctionnaire (article L332-14 du CGFP) : pour faire face temporairement et pour une durée maximale de deux ans à la vacance d'un emploi n’ayant pu être immédiatement pourvu par un fonctionnaire.</w:t>
      </w:r>
    </w:p>
    <w:p w14:paraId="5E9A0583" w14:textId="59E14A51" w:rsidR="009F3A48" w:rsidRPr="00664366" w:rsidRDefault="009F3A48" w:rsidP="009F3A48">
      <w:pPr>
        <w:pStyle w:val="Paragraphedeliste"/>
        <w:numPr>
          <w:ilvl w:val="0"/>
          <w:numId w:val="7"/>
        </w:numPr>
        <w:spacing w:after="120"/>
        <w:ind w:left="426"/>
        <w:jc w:val="both"/>
        <w:rPr>
          <w:szCs w:val="24"/>
        </w:rPr>
      </w:pPr>
      <w:r w:rsidRPr="00664366">
        <w:rPr>
          <w:szCs w:val="24"/>
        </w:rPr>
        <w:t>Contractuels —</w:t>
      </w:r>
      <w:r w:rsidR="00F85190">
        <w:rPr>
          <w:szCs w:val="24"/>
        </w:rPr>
        <w:t xml:space="preserve"> </w:t>
      </w:r>
      <w:r w:rsidRPr="00664366">
        <w:rPr>
          <w:szCs w:val="24"/>
        </w:rPr>
        <w:t>Autres. Il peut s’agir par exemple :</w:t>
      </w:r>
    </w:p>
    <w:p w14:paraId="55D24EFA" w14:textId="77777777" w:rsidR="009F3A48" w:rsidRPr="00664366" w:rsidRDefault="009F3A48" w:rsidP="009F3A48">
      <w:pPr>
        <w:pStyle w:val="Paragraphedeliste"/>
        <w:numPr>
          <w:ilvl w:val="0"/>
          <w:numId w:val="9"/>
        </w:numPr>
        <w:spacing w:after="120"/>
        <w:ind w:left="993"/>
        <w:jc w:val="both"/>
        <w:rPr>
          <w:szCs w:val="24"/>
        </w:rPr>
      </w:pPr>
      <w:proofErr w:type="gramStart"/>
      <w:r w:rsidRPr="00664366">
        <w:rPr>
          <w:szCs w:val="24"/>
        </w:rPr>
        <w:t>contractuels</w:t>
      </w:r>
      <w:proofErr w:type="gramEnd"/>
      <w:r w:rsidRPr="00664366">
        <w:rPr>
          <w:szCs w:val="24"/>
        </w:rPr>
        <w:t xml:space="preserve"> en PACTE (articles L326-10 à L326-19 du CGFP) - Parcours d'accès aux carrières de la fonction publique territoriale, de l'Etat et de l'Hospitalière</w:t>
      </w:r>
    </w:p>
    <w:p w14:paraId="002CA53D" w14:textId="77777777" w:rsidR="009F3A48" w:rsidRPr="00664366" w:rsidRDefault="009F3A48" w:rsidP="009F3A48">
      <w:pPr>
        <w:pStyle w:val="Paragraphedeliste"/>
        <w:numPr>
          <w:ilvl w:val="0"/>
          <w:numId w:val="9"/>
        </w:numPr>
        <w:spacing w:after="120"/>
        <w:ind w:left="993"/>
        <w:jc w:val="both"/>
        <w:rPr>
          <w:szCs w:val="24"/>
        </w:rPr>
      </w:pPr>
      <w:proofErr w:type="gramStart"/>
      <w:r w:rsidRPr="00664366">
        <w:rPr>
          <w:szCs w:val="24"/>
        </w:rPr>
        <w:t>contractuels</w:t>
      </w:r>
      <w:proofErr w:type="gramEnd"/>
      <w:r w:rsidRPr="00664366">
        <w:rPr>
          <w:szCs w:val="24"/>
        </w:rPr>
        <w:t xml:space="preserve"> en situation de handicap (article L352-4 du CGFP) : bénéficiaires de la réglementation relative aux personnes en situation de handicap</w:t>
      </w:r>
    </w:p>
    <w:p w14:paraId="4BCBD586" w14:textId="77777777" w:rsidR="009F3A48" w:rsidRPr="00664366" w:rsidRDefault="009F3A48" w:rsidP="009F3A48">
      <w:pPr>
        <w:pStyle w:val="Paragraphedeliste"/>
        <w:numPr>
          <w:ilvl w:val="0"/>
          <w:numId w:val="9"/>
        </w:numPr>
        <w:spacing w:after="120"/>
        <w:ind w:left="993"/>
        <w:jc w:val="both"/>
        <w:rPr>
          <w:szCs w:val="24"/>
        </w:rPr>
      </w:pPr>
      <w:proofErr w:type="gramStart"/>
      <w:r w:rsidRPr="00664366">
        <w:rPr>
          <w:szCs w:val="24"/>
        </w:rPr>
        <w:lastRenderedPageBreak/>
        <w:t>contractuels</w:t>
      </w:r>
      <w:proofErr w:type="gramEnd"/>
      <w:r w:rsidRPr="00664366">
        <w:rPr>
          <w:szCs w:val="24"/>
        </w:rPr>
        <w:t xml:space="preserve"> emplois de direction (articles L343-1 à L343-5 du CGFP) : emplois fonctionnels de direction dans les collectivités de grande taille</w:t>
      </w:r>
    </w:p>
    <w:p w14:paraId="43E19F6F" w14:textId="77777777" w:rsidR="009F3A48" w:rsidRPr="00664366" w:rsidRDefault="009F3A48" w:rsidP="009F3A48">
      <w:pPr>
        <w:pStyle w:val="Paragraphedeliste"/>
        <w:numPr>
          <w:ilvl w:val="0"/>
          <w:numId w:val="9"/>
        </w:numPr>
        <w:spacing w:after="120"/>
        <w:ind w:left="993" w:hanging="153"/>
        <w:jc w:val="both"/>
        <w:rPr>
          <w:szCs w:val="24"/>
        </w:rPr>
      </w:pPr>
      <w:proofErr w:type="gramStart"/>
      <w:r w:rsidRPr="00664366">
        <w:rPr>
          <w:szCs w:val="24"/>
        </w:rPr>
        <w:t>autres</w:t>
      </w:r>
      <w:proofErr w:type="gramEnd"/>
      <w:r w:rsidRPr="00664366">
        <w:rPr>
          <w:szCs w:val="24"/>
        </w:rPr>
        <w:t xml:space="preserve"> agents contractuels sur emplois permanents (notamment salariés de droit privé recrutés sous contrat de droit public lors de la reprise d’activités précédemment gérées par une association – article L. 1224-3 du code du travail).</w:t>
      </w:r>
    </w:p>
    <w:p w14:paraId="3622FDD2" w14:textId="77777777" w:rsidR="009F3A48" w:rsidRPr="00664366" w:rsidRDefault="009F3A48" w:rsidP="009F3A48">
      <w:pPr>
        <w:jc w:val="both"/>
        <w:rPr>
          <w:b/>
          <w:color w:val="000000"/>
          <w:szCs w:val="24"/>
        </w:rPr>
      </w:pPr>
    </w:p>
    <w:p w14:paraId="77702745" w14:textId="77777777" w:rsidR="009F3A48" w:rsidRPr="00664366" w:rsidRDefault="009F3A48" w:rsidP="009F3A48">
      <w:pPr>
        <w:jc w:val="both"/>
        <w:rPr>
          <w:b/>
          <w:color w:val="00B0F0"/>
          <w:szCs w:val="24"/>
        </w:rPr>
      </w:pPr>
      <w:r w:rsidRPr="00664366">
        <w:rPr>
          <w:b/>
          <w:color w:val="00B0F0"/>
          <w:szCs w:val="24"/>
        </w:rPr>
        <w:t xml:space="preserve">Dans notre collectivité, nous embauchons des « faux vacataires », c'est-à-dire des agents payés à la vacation, mais qui interviennent de façon récurrente pour faire face à un besoin permanent. </w:t>
      </w:r>
    </w:p>
    <w:p w14:paraId="249F74EF" w14:textId="77777777" w:rsidR="009F3A48" w:rsidRPr="00664366" w:rsidRDefault="009F3A48" w:rsidP="009F3A48">
      <w:pPr>
        <w:jc w:val="both"/>
        <w:rPr>
          <w:b/>
          <w:color w:val="00B0F0"/>
          <w:szCs w:val="24"/>
        </w:rPr>
      </w:pPr>
      <w:r w:rsidRPr="00664366">
        <w:rPr>
          <w:b/>
          <w:color w:val="00B0F0"/>
          <w:szCs w:val="24"/>
        </w:rPr>
        <w:t>Doit-on les renseigner en tant que contractuels sur emploi permanent ou sur emploi non permanent ?</w:t>
      </w:r>
    </w:p>
    <w:p w14:paraId="1455B9D6" w14:textId="77777777" w:rsidR="009F3A48" w:rsidRPr="00664366" w:rsidRDefault="009F3A48" w:rsidP="009F3A48">
      <w:pPr>
        <w:jc w:val="both"/>
        <w:rPr>
          <w:color w:val="000000"/>
          <w:szCs w:val="24"/>
        </w:rPr>
      </w:pPr>
      <w:r w:rsidRPr="00664366">
        <w:rPr>
          <w:color w:val="000000"/>
          <w:szCs w:val="24"/>
        </w:rPr>
        <w:t>Il faut les renseigner en tant que contractuels sur emploi permanent (dans « autres contractuels ») car, au-delà de la façon dont ils sont rémunérés, ces agents sont des agents contractuels sur emploi permanent et non des vacataires, selon la position du juge administratif : ils ne devraient pas être rémunérés à la vacation.</w:t>
      </w:r>
    </w:p>
    <w:p w14:paraId="37C70562" w14:textId="77777777" w:rsidR="009F3A48" w:rsidRPr="00664366" w:rsidRDefault="009F3A48" w:rsidP="009F3A48">
      <w:pPr>
        <w:jc w:val="both"/>
        <w:rPr>
          <w:b/>
          <w:color w:val="000000"/>
          <w:szCs w:val="24"/>
        </w:rPr>
      </w:pPr>
    </w:p>
    <w:p w14:paraId="692654BE" w14:textId="77777777" w:rsidR="009F3A48" w:rsidRPr="00664366" w:rsidRDefault="009F3A48" w:rsidP="009F3A48">
      <w:pPr>
        <w:jc w:val="both"/>
        <w:rPr>
          <w:b/>
          <w:color w:val="00B0F0"/>
          <w:szCs w:val="24"/>
        </w:rPr>
      </w:pPr>
      <w:r w:rsidRPr="00664366">
        <w:rPr>
          <w:b/>
          <w:color w:val="00B0F0"/>
          <w:szCs w:val="24"/>
        </w:rPr>
        <w:t>Où comptabiliser les agents en CDI ?</w:t>
      </w:r>
    </w:p>
    <w:p w14:paraId="7E8DFC8C" w14:textId="77777777" w:rsidR="009F3A48" w:rsidRPr="00664366" w:rsidRDefault="009F3A48" w:rsidP="009F3A48">
      <w:pPr>
        <w:pStyle w:val="Paragraphedeliste"/>
        <w:ind w:left="0"/>
        <w:jc w:val="both"/>
        <w:rPr>
          <w:color w:val="000000"/>
          <w:szCs w:val="24"/>
        </w:rPr>
      </w:pPr>
      <w:r w:rsidRPr="00664366">
        <w:rPr>
          <w:color w:val="000000"/>
          <w:szCs w:val="24"/>
        </w:rPr>
        <w:t>Le classement se fait en fonction du motif de recrutement. Ils sont clairement identifiés au niveau de</w:t>
      </w:r>
      <w:r w:rsidRPr="00664366">
        <w:rPr>
          <w:rFonts w:cs="Arial"/>
          <w:i/>
          <w:color w:val="E36C0A" w:themeColor="accent6" w:themeShade="BF"/>
          <w:szCs w:val="24"/>
        </w:rPr>
        <w:t xml:space="preserve"> l’indicateur</w:t>
      </w:r>
      <w:r w:rsidRPr="00664366">
        <w:rPr>
          <w:color w:val="000000"/>
          <w:szCs w:val="24"/>
        </w:rPr>
        <w:t xml:space="preserve"> </w:t>
      </w:r>
      <w:r w:rsidRPr="00664366">
        <w:rPr>
          <w:rFonts w:cs="Arial"/>
          <w:i/>
          <w:color w:val="E36C0A" w:themeColor="accent6" w:themeShade="BF"/>
          <w:szCs w:val="24"/>
        </w:rPr>
        <w:t>1.2.1</w:t>
      </w:r>
      <w:r w:rsidRPr="00664366">
        <w:rPr>
          <w:i/>
          <w:color w:val="FFC000"/>
          <w:szCs w:val="24"/>
        </w:rPr>
        <w:t xml:space="preserve"> </w:t>
      </w:r>
      <w:r w:rsidRPr="00664366">
        <w:rPr>
          <w:color w:val="000000"/>
          <w:szCs w:val="24"/>
        </w:rPr>
        <w:t xml:space="preserve">par les variables (16) et (17) « occupant un emploi en CDI » déclinés par sexe. Tout agent dont le CDI a été conclu au cours de l’année 2021 doit également figurer à </w:t>
      </w:r>
      <w:r w:rsidRPr="00664366">
        <w:rPr>
          <w:rFonts w:cs="Arial"/>
          <w:i/>
          <w:color w:val="E36C0A" w:themeColor="accent6" w:themeShade="BF"/>
          <w:szCs w:val="24"/>
        </w:rPr>
        <w:t>l’indicateur</w:t>
      </w:r>
      <w:r w:rsidRPr="00664366">
        <w:rPr>
          <w:color w:val="000000"/>
          <w:szCs w:val="24"/>
        </w:rPr>
        <w:t xml:space="preserve"> </w:t>
      </w:r>
      <w:r w:rsidRPr="00664366">
        <w:rPr>
          <w:rFonts w:cs="Arial"/>
          <w:i/>
          <w:color w:val="E36C0A" w:themeColor="accent6" w:themeShade="BF"/>
          <w:szCs w:val="24"/>
        </w:rPr>
        <w:t>1.2.5</w:t>
      </w:r>
      <w:r w:rsidRPr="00664366">
        <w:rPr>
          <w:rFonts w:cs="Arial"/>
          <w:szCs w:val="24"/>
        </w:rPr>
        <w:t>.</w:t>
      </w:r>
    </w:p>
    <w:p w14:paraId="281E8CE8" w14:textId="77777777" w:rsidR="009F3A48" w:rsidRPr="00664366" w:rsidRDefault="009F3A48" w:rsidP="009F3A48">
      <w:pPr>
        <w:jc w:val="both"/>
        <w:rPr>
          <w:color w:val="000000"/>
          <w:szCs w:val="24"/>
        </w:rPr>
      </w:pPr>
    </w:p>
    <w:p w14:paraId="37107879" w14:textId="023147C1" w:rsidR="009F3A48" w:rsidRPr="00664366" w:rsidRDefault="009F3A48" w:rsidP="009F3A48">
      <w:pPr>
        <w:jc w:val="both"/>
        <w:rPr>
          <w:b/>
          <w:color w:val="00B0F0"/>
        </w:rPr>
      </w:pPr>
      <w:r w:rsidRPr="00664366">
        <w:rPr>
          <w:b/>
          <w:color w:val="00B0F0"/>
        </w:rPr>
        <w:t xml:space="preserve">Comment renseigner </w:t>
      </w:r>
      <w:r w:rsidRPr="00664366">
        <w:rPr>
          <w:i/>
          <w:color w:val="E36C0A" w:themeColor="accent6" w:themeShade="BF"/>
        </w:rPr>
        <w:t>l’indicateur 1.2.5</w:t>
      </w:r>
      <w:r w:rsidRPr="00664366">
        <w:rPr>
          <w:b/>
          <w:color w:val="00B0F0"/>
        </w:rPr>
        <w:t> ?</w:t>
      </w:r>
    </w:p>
    <w:p w14:paraId="0DEA8BC8" w14:textId="77777777" w:rsidR="009F3A48" w:rsidRPr="00664366" w:rsidRDefault="009F3A48" w:rsidP="009F3A48">
      <w:pPr>
        <w:jc w:val="both"/>
        <w:rPr>
          <w:color w:val="000000"/>
        </w:rPr>
      </w:pPr>
      <w:r w:rsidRPr="00664366">
        <w:t>Cet indicateur recense tous les CDI conclus entre le 1</w:t>
      </w:r>
      <w:r w:rsidRPr="00664366">
        <w:rPr>
          <w:vertAlign w:val="superscript"/>
        </w:rPr>
        <w:t>er</w:t>
      </w:r>
      <w:r w:rsidRPr="00664366">
        <w:t xml:space="preserve"> janvier 2021 et le 31 décembre 2021 répartis selon le type de CDD précédent et le cadre d’emploi de l’agent. La colonne de remplissage doit donc être choisie en fonction du contrat précédant la signature du CDI de l’agent concerné.</w:t>
      </w:r>
    </w:p>
    <w:p w14:paraId="7A01389E" w14:textId="77777777" w:rsidR="009F3A48" w:rsidRPr="00664366" w:rsidRDefault="009F3A48" w:rsidP="009F3A48">
      <w:pPr>
        <w:jc w:val="both"/>
        <w:rPr>
          <w:color w:val="000000"/>
          <w:szCs w:val="24"/>
        </w:rPr>
      </w:pPr>
    </w:p>
    <w:p w14:paraId="1BE5F1BF" w14:textId="77777777" w:rsidR="009F3A48" w:rsidRPr="00664366" w:rsidRDefault="009F3A48" w:rsidP="009F3A48">
      <w:pPr>
        <w:jc w:val="both"/>
        <w:rPr>
          <w:b/>
          <w:color w:val="00B0F0"/>
          <w:szCs w:val="24"/>
        </w:rPr>
      </w:pPr>
      <w:r w:rsidRPr="00664366">
        <w:rPr>
          <w:b/>
          <w:color w:val="00B0F0"/>
          <w:szCs w:val="24"/>
        </w:rPr>
        <w:t>Où comptabiliser un agent contractuel recruté fin décembre de l’année ?</w:t>
      </w:r>
    </w:p>
    <w:p w14:paraId="5F77F909" w14:textId="77777777" w:rsidR="009F3A48" w:rsidRPr="00664366" w:rsidRDefault="009F3A48" w:rsidP="009F3A48">
      <w:pPr>
        <w:jc w:val="both"/>
        <w:rPr>
          <w:i/>
          <w:color w:val="E36C0A" w:themeColor="accent6" w:themeShade="BF"/>
          <w:szCs w:val="24"/>
        </w:rPr>
      </w:pPr>
      <w:r w:rsidRPr="00664366">
        <w:rPr>
          <w:i/>
          <w:color w:val="E36C0A" w:themeColor="accent6" w:themeShade="BF"/>
          <w:szCs w:val="24"/>
        </w:rPr>
        <w:t>Indicateur 1.2.1</w:t>
      </w:r>
    </w:p>
    <w:p w14:paraId="1899C782" w14:textId="77777777" w:rsidR="009F3A48" w:rsidRPr="00664366" w:rsidRDefault="009F3A48" w:rsidP="009F3A48">
      <w:pPr>
        <w:jc w:val="both"/>
        <w:rPr>
          <w:rFonts w:cstheme="minorHAnsi"/>
          <w:szCs w:val="24"/>
        </w:rPr>
      </w:pPr>
      <w:r w:rsidRPr="00664366">
        <w:rPr>
          <w:rFonts w:cstheme="minorHAnsi"/>
          <w:szCs w:val="24"/>
        </w:rPr>
        <w:t>Un agent contractuel recruté fin décembre 2021 mais rémunéré sur le bulletin de paie de janvier 2021 pour les jours travaillés en décembre doit bien figurer dans l’</w:t>
      </w:r>
      <w:r w:rsidRPr="00664366">
        <w:rPr>
          <w:i/>
          <w:color w:val="E36C0A" w:themeColor="accent6" w:themeShade="BF"/>
          <w:szCs w:val="24"/>
        </w:rPr>
        <w:t>indicateur 1.2.1</w:t>
      </w:r>
      <w:r w:rsidRPr="00664366">
        <w:rPr>
          <w:rFonts w:cstheme="minorHAnsi"/>
          <w:szCs w:val="24"/>
        </w:rPr>
        <w:t>.</w:t>
      </w:r>
    </w:p>
    <w:p w14:paraId="5E8775A8" w14:textId="77777777" w:rsidR="009F3A48" w:rsidRPr="00664366" w:rsidRDefault="009F3A48" w:rsidP="009F3A48">
      <w:pPr>
        <w:jc w:val="both"/>
        <w:rPr>
          <w:color w:val="000000"/>
          <w:szCs w:val="24"/>
        </w:rPr>
      </w:pPr>
    </w:p>
    <w:p w14:paraId="0DB9870D" w14:textId="77777777" w:rsidR="009F3A48" w:rsidRPr="00664366" w:rsidRDefault="009F3A48" w:rsidP="009F3A48">
      <w:pPr>
        <w:jc w:val="both"/>
        <w:rPr>
          <w:b/>
          <w:color w:val="00B0F0"/>
        </w:rPr>
      </w:pPr>
      <w:r w:rsidRPr="00664366">
        <w:rPr>
          <w:b/>
          <w:color w:val="00B0F0"/>
        </w:rPr>
        <w:t xml:space="preserve">Les agents en congé spécial sont-ils à recenser à </w:t>
      </w:r>
      <w:r w:rsidRPr="00664366">
        <w:rPr>
          <w:color w:val="E36C0A" w:themeColor="accent6" w:themeShade="BF"/>
        </w:rPr>
        <w:t>l’indicateur 1.2.1</w:t>
      </w:r>
      <w:r w:rsidRPr="00664366">
        <w:rPr>
          <w:b/>
          <w:color w:val="00B0F0"/>
        </w:rPr>
        <w:t> ?</w:t>
      </w:r>
    </w:p>
    <w:p w14:paraId="217EA91C" w14:textId="77777777" w:rsidR="009F3A48" w:rsidRPr="00664366" w:rsidRDefault="009F3A48" w:rsidP="009F3A48">
      <w:pPr>
        <w:jc w:val="both"/>
        <w:rPr>
          <w:color w:val="000000"/>
        </w:rPr>
      </w:pPr>
      <w:r w:rsidRPr="00664366">
        <w:t>Non.</w:t>
      </w:r>
      <w:r w:rsidRPr="00664366">
        <w:rPr>
          <w:color w:val="000000"/>
        </w:rPr>
        <w:t xml:space="preserve"> Les agents en congé spécial ne peuvent pas être regardés comme occupant un emploi permanent. Ils ne sont pas non plus en activité mais dans une position statutaire particulière (Avis du Conseil d’Etat du 8 novembre 1961). En revanche, ils doivent être renseignés à </w:t>
      </w:r>
      <w:r w:rsidRPr="00664366">
        <w:rPr>
          <w:i/>
          <w:color w:val="E36C0A" w:themeColor="accent6" w:themeShade="BF"/>
        </w:rPr>
        <w:t>l’indicateur 1.4.1</w:t>
      </w:r>
      <w:r w:rsidRPr="00664366">
        <w:rPr>
          <w:color w:val="000000"/>
        </w:rPr>
        <w:t xml:space="preserve"> qui concerne les agents placés dans une position statutaire particulière.</w:t>
      </w:r>
    </w:p>
    <w:p w14:paraId="5978A8B9" w14:textId="77777777" w:rsidR="009F3A48" w:rsidRPr="00664366" w:rsidRDefault="009F3A48" w:rsidP="009F3A48">
      <w:pPr>
        <w:jc w:val="both"/>
        <w:rPr>
          <w:color w:val="000000"/>
          <w:szCs w:val="24"/>
        </w:rPr>
      </w:pPr>
    </w:p>
    <w:p w14:paraId="04EDB3B4" w14:textId="77777777" w:rsidR="009F3A48" w:rsidRPr="00664366" w:rsidRDefault="009F3A48" w:rsidP="009F3A48">
      <w:pPr>
        <w:jc w:val="both"/>
        <w:rPr>
          <w:b/>
          <w:color w:val="00B0F0"/>
          <w:szCs w:val="24"/>
        </w:rPr>
      </w:pPr>
      <w:r w:rsidRPr="00664366">
        <w:rPr>
          <w:b/>
          <w:color w:val="00B0F0"/>
          <w:szCs w:val="24"/>
        </w:rPr>
        <w:t xml:space="preserve">Quels sont les agents contractuels sur emploi non permanent à comptabiliser ? </w:t>
      </w:r>
    </w:p>
    <w:p w14:paraId="2E13A27C" w14:textId="77777777" w:rsidR="009F3A48" w:rsidRPr="00664366" w:rsidRDefault="009F3A48" w:rsidP="009F3A48">
      <w:pPr>
        <w:spacing w:after="120"/>
        <w:jc w:val="both"/>
        <w:rPr>
          <w:rFonts w:cs="Arial"/>
          <w:i/>
          <w:color w:val="E36C0A" w:themeColor="accent6" w:themeShade="BF"/>
          <w:szCs w:val="24"/>
        </w:rPr>
      </w:pPr>
      <w:r w:rsidRPr="00664366">
        <w:rPr>
          <w:rFonts w:cs="Arial"/>
          <w:i/>
          <w:color w:val="E36C0A" w:themeColor="accent6" w:themeShade="BF"/>
          <w:szCs w:val="24"/>
        </w:rPr>
        <w:t>Indicateurs 1.3.1 et 1.3.2</w:t>
      </w:r>
    </w:p>
    <w:p w14:paraId="424D3B53" w14:textId="77777777" w:rsidR="009F3A48" w:rsidRPr="00664366" w:rsidRDefault="009F3A48" w:rsidP="009F3A48">
      <w:pPr>
        <w:spacing w:after="120"/>
        <w:jc w:val="both"/>
        <w:rPr>
          <w:szCs w:val="24"/>
        </w:rPr>
      </w:pPr>
      <w:r w:rsidRPr="00664366">
        <w:rPr>
          <w:szCs w:val="24"/>
        </w:rPr>
        <w:t>Il s’agit d’agents qui ont été présents au cours de l’année et qui ont travaillé au moins un jour entre le 1</w:t>
      </w:r>
      <w:r w:rsidRPr="00664366">
        <w:rPr>
          <w:szCs w:val="24"/>
          <w:vertAlign w:val="superscript"/>
        </w:rPr>
        <w:t>er</w:t>
      </w:r>
      <w:r w:rsidRPr="00664366">
        <w:rPr>
          <w:szCs w:val="24"/>
        </w:rPr>
        <w:t xml:space="preserve"> janvier 2021 et le 31 décembre 2021.</w:t>
      </w:r>
    </w:p>
    <w:p w14:paraId="27E9B58C" w14:textId="77777777" w:rsidR="009F3A48" w:rsidRPr="00664366" w:rsidRDefault="009F3A48" w:rsidP="009F3A48">
      <w:pPr>
        <w:pStyle w:val="Paragraphedeliste"/>
        <w:numPr>
          <w:ilvl w:val="0"/>
          <w:numId w:val="3"/>
        </w:numPr>
        <w:spacing w:after="120"/>
        <w:ind w:left="709"/>
        <w:jc w:val="both"/>
        <w:rPr>
          <w:szCs w:val="24"/>
        </w:rPr>
      </w:pPr>
      <w:r w:rsidRPr="00664366">
        <w:rPr>
          <w:szCs w:val="24"/>
        </w:rPr>
        <w:t>Les collaborateurs de cabinet (articles L333-1 à L333-11 du CGFP)</w:t>
      </w:r>
    </w:p>
    <w:p w14:paraId="4BE67FE5" w14:textId="77777777" w:rsidR="009F3A48" w:rsidRPr="00664366" w:rsidRDefault="009F3A48" w:rsidP="009F3A48">
      <w:pPr>
        <w:pStyle w:val="Paragraphedeliste"/>
        <w:numPr>
          <w:ilvl w:val="0"/>
          <w:numId w:val="3"/>
        </w:numPr>
        <w:spacing w:after="120"/>
        <w:ind w:left="709"/>
        <w:jc w:val="both"/>
        <w:rPr>
          <w:szCs w:val="24"/>
        </w:rPr>
      </w:pPr>
      <w:r w:rsidRPr="00664366">
        <w:rPr>
          <w:szCs w:val="24"/>
        </w:rPr>
        <w:t>Les collaborateurs de groupes d’élus (article L333-12 du CGFP)</w:t>
      </w:r>
    </w:p>
    <w:p w14:paraId="64C54B55" w14:textId="77777777" w:rsidR="009F3A48" w:rsidRPr="00664366" w:rsidRDefault="009F3A48" w:rsidP="009F3A48">
      <w:pPr>
        <w:pStyle w:val="Paragraphedeliste"/>
        <w:numPr>
          <w:ilvl w:val="0"/>
          <w:numId w:val="3"/>
        </w:numPr>
        <w:spacing w:after="120"/>
        <w:jc w:val="both"/>
        <w:rPr>
          <w:szCs w:val="24"/>
        </w:rPr>
      </w:pPr>
      <w:r w:rsidRPr="00664366">
        <w:rPr>
          <w:szCs w:val="24"/>
        </w:rPr>
        <w:t>Les agents recrutés sur un contrat de projet (Articles L332-24 à L332-26 du CGFP)</w:t>
      </w:r>
    </w:p>
    <w:p w14:paraId="7FE7DF3B" w14:textId="77777777" w:rsidR="009F3A48" w:rsidRPr="00664366" w:rsidRDefault="009F3A48" w:rsidP="009F3A48">
      <w:pPr>
        <w:pStyle w:val="Paragraphedeliste"/>
        <w:numPr>
          <w:ilvl w:val="0"/>
          <w:numId w:val="3"/>
        </w:numPr>
        <w:spacing w:after="120"/>
        <w:ind w:left="709"/>
        <w:jc w:val="both"/>
        <w:rPr>
          <w:szCs w:val="24"/>
        </w:rPr>
      </w:pPr>
      <w:r w:rsidRPr="00664366">
        <w:rPr>
          <w:szCs w:val="24"/>
        </w:rPr>
        <w:t>Les assistants maternels (en charge d’accueillir à domicile des mineurs ou des jeunes majeurs)</w:t>
      </w:r>
    </w:p>
    <w:p w14:paraId="7D6BD516" w14:textId="77777777" w:rsidR="009F3A48" w:rsidRPr="00664366" w:rsidRDefault="009F3A48" w:rsidP="009F3A48">
      <w:pPr>
        <w:pStyle w:val="Paragraphedeliste"/>
        <w:numPr>
          <w:ilvl w:val="0"/>
          <w:numId w:val="3"/>
        </w:numPr>
        <w:spacing w:after="120"/>
        <w:ind w:left="709"/>
        <w:jc w:val="both"/>
        <w:rPr>
          <w:szCs w:val="24"/>
        </w:rPr>
      </w:pPr>
      <w:r w:rsidRPr="00664366">
        <w:rPr>
          <w:szCs w:val="24"/>
        </w:rPr>
        <w:lastRenderedPageBreak/>
        <w:t>Les assistants familiaux (article L. 422-1 du code de l’action sociale et des familles) travaillant dans les centres ou services d’accueil familial ou de placement familial spécialisé</w:t>
      </w:r>
    </w:p>
    <w:p w14:paraId="2CDABA89" w14:textId="77777777" w:rsidR="009F3A48" w:rsidRPr="00664366" w:rsidRDefault="009F3A48" w:rsidP="009F3A48">
      <w:pPr>
        <w:pStyle w:val="Paragraphedeliste"/>
        <w:numPr>
          <w:ilvl w:val="0"/>
          <w:numId w:val="3"/>
        </w:numPr>
        <w:spacing w:after="120"/>
        <w:ind w:left="709"/>
        <w:jc w:val="both"/>
        <w:rPr>
          <w:szCs w:val="24"/>
        </w:rPr>
      </w:pPr>
      <w:r w:rsidRPr="00664366">
        <w:rPr>
          <w:szCs w:val="24"/>
        </w:rPr>
        <w:t>Les accueillants familiaux : article L. 444-1 et suivants du code de l’action sociale et des familles</w:t>
      </w:r>
    </w:p>
    <w:p w14:paraId="5E32D1E4" w14:textId="77777777" w:rsidR="009F3A48" w:rsidRPr="00664366" w:rsidRDefault="009F3A48" w:rsidP="009F3A48">
      <w:pPr>
        <w:pStyle w:val="Paragraphedeliste"/>
        <w:numPr>
          <w:ilvl w:val="0"/>
          <w:numId w:val="3"/>
        </w:numPr>
        <w:spacing w:after="120"/>
        <w:ind w:left="709"/>
        <w:jc w:val="both"/>
        <w:rPr>
          <w:szCs w:val="24"/>
        </w:rPr>
      </w:pPr>
      <w:r w:rsidRPr="00664366">
        <w:rPr>
          <w:szCs w:val="24"/>
        </w:rPr>
        <w:t>Les contractuels pour « accroissement temporaire d’activité » (article L332-23 du CGFP) doivent être comptabilisés quels qu’ils soient</w:t>
      </w:r>
    </w:p>
    <w:p w14:paraId="5EAAF38A" w14:textId="77777777" w:rsidR="009F3A48" w:rsidRPr="00664366" w:rsidRDefault="009F3A48" w:rsidP="009F3A48">
      <w:pPr>
        <w:pStyle w:val="Paragraphedeliste"/>
        <w:numPr>
          <w:ilvl w:val="0"/>
          <w:numId w:val="3"/>
        </w:numPr>
        <w:spacing w:after="120"/>
        <w:ind w:left="709"/>
        <w:jc w:val="both"/>
        <w:rPr>
          <w:szCs w:val="24"/>
        </w:rPr>
      </w:pPr>
      <w:r w:rsidRPr="00664366">
        <w:rPr>
          <w:szCs w:val="24"/>
        </w:rPr>
        <w:t>Les personnes ayant bénéficié d’un emploi aidé</w:t>
      </w:r>
    </w:p>
    <w:p w14:paraId="5F4DDB8F" w14:textId="77777777" w:rsidR="009F3A48" w:rsidRPr="00664366" w:rsidRDefault="009F3A48" w:rsidP="009F3A48">
      <w:pPr>
        <w:pStyle w:val="Paragraphedeliste"/>
        <w:numPr>
          <w:ilvl w:val="0"/>
          <w:numId w:val="3"/>
        </w:numPr>
        <w:spacing w:after="120"/>
        <w:ind w:left="709"/>
        <w:jc w:val="both"/>
        <w:rPr>
          <w:color w:val="000000"/>
          <w:szCs w:val="24"/>
        </w:rPr>
      </w:pPr>
      <w:r w:rsidRPr="00664366">
        <w:rPr>
          <w:szCs w:val="24"/>
        </w:rPr>
        <w:t xml:space="preserve">Les agents contractuels employés </w:t>
      </w:r>
      <w:r w:rsidRPr="00664366">
        <w:rPr>
          <w:color w:val="000000"/>
          <w:szCs w:val="24"/>
        </w:rPr>
        <w:t>par le Centre de Gestion et mis à disposition des collectivités</w:t>
      </w:r>
    </w:p>
    <w:p w14:paraId="48ECE267" w14:textId="77777777" w:rsidR="009F3A48" w:rsidRPr="00664366" w:rsidRDefault="009F3A48" w:rsidP="009F3A48">
      <w:pPr>
        <w:pStyle w:val="Paragraphedeliste"/>
        <w:numPr>
          <w:ilvl w:val="0"/>
          <w:numId w:val="3"/>
        </w:numPr>
        <w:spacing w:after="120"/>
        <w:ind w:left="709"/>
        <w:jc w:val="both"/>
        <w:rPr>
          <w:color w:val="000000"/>
          <w:szCs w:val="24"/>
        </w:rPr>
      </w:pPr>
      <w:r w:rsidRPr="00664366">
        <w:rPr>
          <w:color w:val="000000"/>
          <w:szCs w:val="24"/>
        </w:rPr>
        <w:t>Les agents employés par recours à l’intérim : personnes employées dans le cadre du recours au service des entreprises mentionnées à l’article L. 1251-1 du code du travail en référence à l’article L334-3 du CGFP</w:t>
      </w:r>
    </w:p>
    <w:p w14:paraId="42B66102" w14:textId="77777777" w:rsidR="009F3A48" w:rsidRPr="00664366" w:rsidRDefault="009F3A48" w:rsidP="009F3A48">
      <w:pPr>
        <w:pStyle w:val="Paragraphedeliste"/>
        <w:numPr>
          <w:ilvl w:val="0"/>
          <w:numId w:val="3"/>
        </w:numPr>
        <w:spacing w:after="120"/>
        <w:ind w:left="709"/>
        <w:jc w:val="both"/>
        <w:rPr>
          <w:color w:val="000000"/>
          <w:szCs w:val="24"/>
        </w:rPr>
      </w:pPr>
      <w:r w:rsidRPr="00664366">
        <w:rPr>
          <w:color w:val="000000"/>
          <w:szCs w:val="24"/>
        </w:rPr>
        <w:t>Les apprentis (agents bénéficiant de contrats d’apprentissage)</w:t>
      </w:r>
    </w:p>
    <w:p w14:paraId="69B47087" w14:textId="77777777" w:rsidR="009F3A48" w:rsidRPr="00664366" w:rsidRDefault="009F3A48" w:rsidP="009F3A48">
      <w:pPr>
        <w:pStyle w:val="Paragraphedeliste"/>
        <w:numPr>
          <w:ilvl w:val="0"/>
          <w:numId w:val="3"/>
        </w:numPr>
        <w:spacing w:after="120"/>
        <w:ind w:left="709"/>
        <w:jc w:val="both"/>
        <w:rPr>
          <w:szCs w:val="24"/>
        </w:rPr>
      </w:pPr>
      <w:r w:rsidRPr="00664366">
        <w:rPr>
          <w:szCs w:val="24"/>
        </w:rPr>
        <w:t>Les vacataires (l’article 1</w:t>
      </w:r>
      <w:r w:rsidRPr="00664366">
        <w:rPr>
          <w:szCs w:val="24"/>
          <w:vertAlign w:val="superscript"/>
        </w:rPr>
        <w:t>er</w:t>
      </w:r>
      <w:r w:rsidRPr="00664366">
        <w:rPr>
          <w:szCs w:val="24"/>
        </w:rPr>
        <w:t xml:space="preserve"> du décret n°88-145 du 15 février 1988 identifie les « vacataires » comme des agents engagés pour une tâche précise, ponctuelle, et limitée à l’exécution d’actes déterminés. Ainsi, ces agents ne sont pas recrutés pour occuper un « emploi »).</w:t>
      </w:r>
    </w:p>
    <w:p w14:paraId="4A4DCCF9" w14:textId="77777777" w:rsidR="009F3A48" w:rsidRPr="00664366" w:rsidRDefault="009F3A48" w:rsidP="009F3A48">
      <w:pPr>
        <w:pStyle w:val="Paragraphedeliste"/>
        <w:numPr>
          <w:ilvl w:val="0"/>
          <w:numId w:val="3"/>
        </w:numPr>
        <w:spacing w:after="120"/>
        <w:ind w:left="709"/>
        <w:jc w:val="both"/>
        <w:rPr>
          <w:szCs w:val="24"/>
        </w:rPr>
      </w:pPr>
      <w:r w:rsidRPr="00664366">
        <w:rPr>
          <w:color w:val="000000"/>
          <w:szCs w:val="24"/>
        </w:rPr>
        <w:t xml:space="preserve">D’autres types d’agents bénéficiant d’une rémunération accessoire autorisée par la réglementation sur le cumul des </w:t>
      </w:r>
      <w:r w:rsidRPr="00664366">
        <w:rPr>
          <w:szCs w:val="24"/>
        </w:rPr>
        <w:t>emplois (exemple : un agent de la collectivité qui exerce des missions d’animation des centres de loisirs dans une autre collectivité sur un emploi non permanent).</w:t>
      </w:r>
    </w:p>
    <w:p w14:paraId="25BD55CF" w14:textId="77777777" w:rsidR="009F3A48" w:rsidRPr="00664366" w:rsidRDefault="009F3A48" w:rsidP="009F3A48">
      <w:pPr>
        <w:spacing w:after="120"/>
        <w:jc w:val="both"/>
        <w:rPr>
          <w:color w:val="000000"/>
          <w:szCs w:val="24"/>
        </w:rPr>
      </w:pPr>
      <w:r w:rsidRPr="00664366">
        <w:rPr>
          <w:color w:val="000000"/>
          <w:szCs w:val="24"/>
        </w:rPr>
        <w:t>Si une personne a travaillé à des périodes distinctes, ne la compter qu’une fois.</w:t>
      </w:r>
    </w:p>
    <w:p w14:paraId="56247A32" w14:textId="45E8B12A" w:rsidR="00F813ED" w:rsidRDefault="009F3A48" w:rsidP="003674FE">
      <w:pPr>
        <w:spacing w:after="120"/>
        <w:jc w:val="both"/>
        <w:rPr>
          <w:color w:val="000000"/>
          <w:szCs w:val="24"/>
        </w:rPr>
      </w:pPr>
      <w:r w:rsidRPr="00664366">
        <w:rPr>
          <w:color w:val="000000"/>
          <w:szCs w:val="24"/>
        </w:rPr>
        <w:t>Exemple : Si un agent a été recruté par votre collectivité pour être moniteur de colonie de vacance</w:t>
      </w:r>
      <w:r w:rsidR="00A94701">
        <w:rPr>
          <w:color w:val="000000"/>
          <w:szCs w:val="24"/>
        </w:rPr>
        <w:t>s</w:t>
      </w:r>
      <w:r w:rsidRPr="00664366">
        <w:rPr>
          <w:color w:val="000000"/>
          <w:szCs w:val="24"/>
        </w:rPr>
        <w:t xml:space="preserve"> et qu’il a travaillé 3 fois (3 contrats distincts) en 2021, il ne doit être recensé qu’une seule fois.</w:t>
      </w:r>
    </w:p>
    <w:p w14:paraId="0AE15FB5" w14:textId="77777777" w:rsidR="003674FE" w:rsidRPr="003674FE" w:rsidRDefault="003674FE" w:rsidP="003674FE">
      <w:pPr>
        <w:spacing w:after="120"/>
        <w:jc w:val="both"/>
        <w:rPr>
          <w:color w:val="000000"/>
          <w:szCs w:val="24"/>
        </w:rPr>
      </w:pPr>
    </w:p>
    <w:p w14:paraId="2ADA79BD" w14:textId="77777777" w:rsidR="009F3A48" w:rsidRPr="009F3A48" w:rsidRDefault="009F3A48" w:rsidP="009F3A48">
      <w:pPr>
        <w:jc w:val="both"/>
        <w:rPr>
          <w:rFonts w:ascii="Calibri" w:hAnsi="Calibri"/>
          <w:b/>
          <w:color w:val="00B0F0"/>
          <w:szCs w:val="24"/>
        </w:rPr>
      </w:pPr>
      <w:bookmarkStart w:id="4" w:name="_Hlk103935480"/>
      <w:r w:rsidRPr="009F3A48">
        <w:rPr>
          <w:rFonts w:ascii="Calibri" w:hAnsi="Calibri"/>
          <w:b/>
          <w:color w:val="00B0F0"/>
          <w:szCs w:val="24"/>
        </w:rPr>
        <w:t>Comment renseigner les 2 tableaux de l’indicateur 1.3.1 ?</w:t>
      </w:r>
    </w:p>
    <w:p w14:paraId="1A7D17FC" w14:textId="77777777" w:rsidR="009F3A48" w:rsidRPr="009F3A48" w:rsidRDefault="009F3A48" w:rsidP="009F3A48">
      <w:pPr>
        <w:jc w:val="both"/>
        <w:rPr>
          <w:rFonts w:ascii="Calibri" w:hAnsi="Calibri"/>
          <w:b/>
          <w:color w:val="00B0F0"/>
          <w:szCs w:val="24"/>
        </w:rPr>
      </w:pPr>
      <w:r w:rsidRPr="009F3A48">
        <w:rPr>
          <w:rFonts w:ascii="Calibri" w:hAnsi="Calibri" w:cs="Arial"/>
          <w:i/>
          <w:color w:val="E36C0A"/>
          <w:szCs w:val="24"/>
        </w:rPr>
        <w:t>Indicateurs 1.3.1</w:t>
      </w:r>
    </w:p>
    <w:p w14:paraId="4C0DED99"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Les contractuels voire les vacataires qui n’ont pas été rémunérés en décembre 2021 mais ont bien reçu une rémunération les autres mois de l’année ne doivent pas figurer dans la partie gauche du tableau (effectifs rémunérés au 31 décembre 2021) et doivent bien figurer dans la partie droite du tableau (effectifs ayant été rémunérés au moins un jour entre le 1</w:t>
      </w:r>
      <w:r w:rsidRPr="009F3A48">
        <w:rPr>
          <w:rFonts w:ascii="Calibri" w:hAnsi="Calibri"/>
          <w:color w:val="000000"/>
          <w:szCs w:val="24"/>
          <w:vertAlign w:val="superscript"/>
        </w:rPr>
        <w:t>er</w:t>
      </w:r>
      <w:r w:rsidRPr="009F3A48">
        <w:rPr>
          <w:rFonts w:ascii="Calibri" w:hAnsi="Calibri"/>
          <w:color w:val="000000"/>
          <w:szCs w:val="24"/>
        </w:rPr>
        <w:t xml:space="preserve"> janvier 2021 et le 31 décembre 2021).</w:t>
      </w:r>
    </w:p>
    <w:p w14:paraId="166F195A" w14:textId="019A8A49" w:rsidR="009F3A48" w:rsidRPr="009F3A48" w:rsidRDefault="009F3A48" w:rsidP="009F3A48">
      <w:pPr>
        <w:jc w:val="both"/>
        <w:rPr>
          <w:rFonts w:ascii="Calibri" w:hAnsi="Calibri"/>
          <w:b/>
          <w:color w:val="00B0F0"/>
          <w:szCs w:val="24"/>
        </w:rPr>
      </w:pPr>
    </w:p>
    <w:p w14:paraId="3F2C5056"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Où dois-je répertorier les intermittents du spectacle ?</w:t>
      </w:r>
    </w:p>
    <w:p w14:paraId="2212C764"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 xml:space="preserve">Il faut les comptabiliser à la dernière ligne du tableau, dans </w:t>
      </w:r>
      <w:r w:rsidRPr="009F3A48">
        <w:rPr>
          <w:rFonts w:ascii="Calibri" w:hAnsi="Calibri" w:cs="Arial"/>
          <w:i/>
          <w:color w:val="E36C0A"/>
          <w:szCs w:val="24"/>
        </w:rPr>
        <w:t xml:space="preserve">l’indicateur 1.3.1 </w:t>
      </w:r>
      <w:r w:rsidRPr="009F3A48">
        <w:rPr>
          <w:rFonts w:ascii="Calibri" w:hAnsi="Calibri"/>
          <w:color w:val="000000"/>
          <w:szCs w:val="24"/>
        </w:rPr>
        <w:t>au niveau de la ligne « Autres (agents non classables dans les catégories précédentes) ».</w:t>
      </w:r>
    </w:p>
    <w:p w14:paraId="4577FA21" w14:textId="77777777" w:rsidR="009F3A48" w:rsidRPr="009F3A48" w:rsidRDefault="009F3A48" w:rsidP="009F3A48">
      <w:pPr>
        <w:jc w:val="both"/>
        <w:rPr>
          <w:rFonts w:ascii="Calibri" w:hAnsi="Calibri"/>
          <w:b/>
          <w:color w:val="000000"/>
          <w:szCs w:val="24"/>
        </w:rPr>
      </w:pPr>
    </w:p>
    <w:p w14:paraId="26C3A3AC" w14:textId="77777777" w:rsidR="009F3A48" w:rsidRPr="009F3A48" w:rsidRDefault="009F3A48" w:rsidP="009F3A48">
      <w:pPr>
        <w:jc w:val="both"/>
        <w:rPr>
          <w:rFonts w:ascii="Calibri" w:hAnsi="Calibri"/>
          <w:color w:val="00B0F0"/>
          <w:szCs w:val="24"/>
        </w:rPr>
      </w:pPr>
      <w:r w:rsidRPr="009F3A48">
        <w:rPr>
          <w:rFonts w:ascii="Calibri" w:hAnsi="Calibri"/>
          <w:b/>
          <w:color w:val="00B0F0"/>
          <w:szCs w:val="24"/>
        </w:rPr>
        <w:t>Où dois-je répertorier les collaborateurs d’élus (groupement politique) ?</w:t>
      </w:r>
    </w:p>
    <w:p w14:paraId="3A6AD59A"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 xml:space="preserve">Il faut les intégrer dans </w:t>
      </w:r>
      <w:r w:rsidRPr="009F3A48">
        <w:rPr>
          <w:rFonts w:ascii="Calibri" w:hAnsi="Calibri" w:cs="Arial"/>
          <w:i/>
          <w:color w:val="E36C0A"/>
          <w:szCs w:val="24"/>
        </w:rPr>
        <w:t xml:space="preserve">l’indicateur 1.3.1 </w:t>
      </w:r>
      <w:r w:rsidRPr="009F3A48">
        <w:rPr>
          <w:rFonts w:ascii="Calibri" w:hAnsi="Calibri"/>
          <w:color w:val="000000"/>
          <w:szCs w:val="24"/>
        </w:rPr>
        <w:t xml:space="preserve">au niveau de la ligne « Autres agents non classables dans les catégories précédentes ». </w:t>
      </w:r>
    </w:p>
    <w:p w14:paraId="2F913FCD" w14:textId="77777777" w:rsidR="009F3A48" w:rsidRPr="009F3A48" w:rsidRDefault="009F3A48" w:rsidP="009F3A48">
      <w:pPr>
        <w:jc w:val="both"/>
        <w:rPr>
          <w:rFonts w:ascii="Calibri" w:hAnsi="Calibri"/>
          <w:b/>
          <w:color w:val="000000"/>
          <w:szCs w:val="24"/>
        </w:rPr>
      </w:pPr>
    </w:p>
    <w:p w14:paraId="7249608E"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Où saisir les assistantes maternelles, les assistants familiaux, les apprentis, les saisonniers ?</w:t>
      </w:r>
    </w:p>
    <w:p w14:paraId="040A1390" w14:textId="77777777" w:rsidR="009F3A48" w:rsidRPr="009F3A48" w:rsidRDefault="009F3A48" w:rsidP="009F3A48">
      <w:pPr>
        <w:jc w:val="both"/>
        <w:rPr>
          <w:rFonts w:ascii="Calibri" w:hAnsi="Calibri"/>
          <w:szCs w:val="24"/>
        </w:rPr>
      </w:pPr>
      <w:r w:rsidRPr="009F3A48">
        <w:rPr>
          <w:rFonts w:ascii="Calibri" w:hAnsi="Calibri"/>
          <w:color w:val="000000"/>
          <w:szCs w:val="24"/>
        </w:rPr>
        <w:t xml:space="preserve">Il faut les recenser au sein de </w:t>
      </w:r>
      <w:r w:rsidRPr="009F3A48">
        <w:rPr>
          <w:rFonts w:ascii="Calibri" w:hAnsi="Calibri" w:cs="Arial"/>
          <w:i/>
          <w:color w:val="E36C0A"/>
          <w:szCs w:val="24"/>
        </w:rPr>
        <w:t>l’indicateur 1.3.1</w:t>
      </w:r>
      <w:r w:rsidRPr="009F3A48">
        <w:rPr>
          <w:rFonts w:ascii="Calibri" w:hAnsi="Calibri"/>
          <w:color w:val="000000"/>
          <w:szCs w:val="24"/>
        </w:rPr>
        <w:t xml:space="preserve"> à la ligne appropriée</w:t>
      </w:r>
      <w:r w:rsidRPr="009F3A48">
        <w:rPr>
          <w:rFonts w:ascii="Calibri" w:hAnsi="Calibri"/>
          <w:szCs w:val="24"/>
        </w:rPr>
        <w:t>. Pour des raisons de traitement statistique, les assistantes maternelles en CDI sont aussi à renseigner à cet indicateur.</w:t>
      </w:r>
    </w:p>
    <w:p w14:paraId="119D250D" w14:textId="77777777" w:rsidR="009F3A48" w:rsidRPr="009F3A48" w:rsidRDefault="009F3A48" w:rsidP="009F3A48">
      <w:pPr>
        <w:jc w:val="both"/>
        <w:rPr>
          <w:rFonts w:ascii="Calibri" w:hAnsi="Calibri"/>
          <w:b/>
          <w:color w:val="000000"/>
          <w:szCs w:val="24"/>
        </w:rPr>
      </w:pPr>
    </w:p>
    <w:p w14:paraId="54A31DDE"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Où renseigner un stagiaire (de l’enseignement supérieur par exemple) ?</w:t>
      </w:r>
    </w:p>
    <w:p w14:paraId="10BDA5B1"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Les stagiaires des collèges, des lycées ou de l’enseignement supérieur n’ont pas à être renseignés.</w:t>
      </w:r>
    </w:p>
    <w:p w14:paraId="568A3B2F"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 xml:space="preserve">Ce ne sont pas des agents de la collectivité, ils ne sont pas rémunérés mais indemnisés. </w:t>
      </w:r>
    </w:p>
    <w:p w14:paraId="100D69A5" w14:textId="77777777" w:rsidR="009F3A48" w:rsidRPr="009F3A48" w:rsidRDefault="009F3A48" w:rsidP="009F3A48">
      <w:pPr>
        <w:jc w:val="both"/>
        <w:rPr>
          <w:rFonts w:ascii="Calibri" w:hAnsi="Calibri"/>
          <w:color w:val="000000"/>
          <w:szCs w:val="24"/>
        </w:rPr>
      </w:pPr>
    </w:p>
    <w:p w14:paraId="6D9AA42C"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Où comptabiliser les disponibilités qui ont commencé avant l’année 2021 et qui sont toujours en cours à la fin de l’année 2021 ?</w:t>
      </w:r>
    </w:p>
    <w:p w14:paraId="609925E4"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 xml:space="preserve">Ils doivent être saisis au sein de </w:t>
      </w:r>
      <w:r w:rsidRPr="009F3A48">
        <w:rPr>
          <w:rFonts w:ascii="Calibri" w:hAnsi="Calibri" w:cs="Arial"/>
          <w:i/>
          <w:color w:val="E36C0A"/>
          <w:szCs w:val="24"/>
        </w:rPr>
        <w:t>l’indicateur 1.4.1. – « Nombre d’agents originaires de la collectivité »</w:t>
      </w:r>
      <w:r w:rsidRPr="009F3A48">
        <w:rPr>
          <w:rFonts w:ascii="Calibri" w:hAnsi="Calibri"/>
          <w:color w:val="000000"/>
          <w:szCs w:val="24"/>
        </w:rPr>
        <w:t>.</w:t>
      </w:r>
    </w:p>
    <w:p w14:paraId="6E4F8A0C" w14:textId="77777777" w:rsidR="009F3A48" w:rsidRPr="009F3A48" w:rsidRDefault="009F3A48" w:rsidP="009F3A48">
      <w:pPr>
        <w:jc w:val="both"/>
        <w:rPr>
          <w:rFonts w:ascii="Calibri" w:hAnsi="Calibri"/>
          <w:color w:val="000000"/>
          <w:szCs w:val="24"/>
        </w:rPr>
      </w:pPr>
    </w:p>
    <w:p w14:paraId="7C6FCF9D"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Où saisir les agents mis à disposition de la communauté de communes ou d’agglomération ?</w:t>
      </w:r>
    </w:p>
    <w:p w14:paraId="687CB18B"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 xml:space="preserve">Ils doivent être saisis au sein de </w:t>
      </w:r>
      <w:r w:rsidRPr="009F3A48">
        <w:rPr>
          <w:rFonts w:ascii="Calibri" w:hAnsi="Calibri" w:cs="Arial"/>
          <w:i/>
          <w:color w:val="E36C0A"/>
          <w:szCs w:val="24"/>
        </w:rPr>
        <w:t>l’indicateur 1.4.1</w:t>
      </w:r>
      <w:r w:rsidRPr="009F3A48">
        <w:rPr>
          <w:rFonts w:ascii="Calibri" w:hAnsi="Calibri"/>
          <w:color w:val="000000"/>
          <w:szCs w:val="24"/>
        </w:rPr>
        <w:t>, au niveau de la ligne « Mis à disposition dans une autre structure ».</w:t>
      </w:r>
    </w:p>
    <w:p w14:paraId="12B416E9" w14:textId="77777777" w:rsidR="009F3A48" w:rsidRPr="009F3A48" w:rsidRDefault="009F3A48" w:rsidP="009F3A48">
      <w:pPr>
        <w:jc w:val="both"/>
        <w:rPr>
          <w:rFonts w:ascii="Calibri" w:hAnsi="Calibri"/>
          <w:color w:val="000000"/>
          <w:szCs w:val="24"/>
        </w:rPr>
      </w:pPr>
    </w:p>
    <w:p w14:paraId="21DFB453"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Où saisir les agents de la communauté de communes, d’agglomération mis à disposition de la commune ?</w:t>
      </w:r>
    </w:p>
    <w:p w14:paraId="1E15992A"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 xml:space="preserve">Ils doivent être saisis au sein de </w:t>
      </w:r>
      <w:r w:rsidRPr="009F3A48">
        <w:rPr>
          <w:rFonts w:ascii="Calibri" w:hAnsi="Calibri" w:cs="Arial"/>
          <w:i/>
          <w:color w:val="E36C0A"/>
          <w:szCs w:val="24"/>
        </w:rPr>
        <w:t>l’indicateur 1.4.1</w:t>
      </w:r>
      <w:r w:rsidRPr="009F3A48">
        <w:rPr>
          <w:rFonts w:ascii="Calibri" w:hAnsi="Calibri"/>
          <w:color w:val="000000"/>
          <w:szCs w:val="24"/>
        </w:rPr>
        <w:t>, au niveau de la ligne « Mis à disposition dans une autre structure ».</w:t>
      </w:r>
    </w:p>
    <w:p w14:paraId="3DA19EE6" w14:textId="77777777" w:rsidR="009F3A48" w:rsidRPr="009F3A48" w:rsidRDefault="009F3A48" w:rsidP="009F3A48">
      <w:pPr>
        <w:jc w:val="both"/>
        <w:rPr>
          <w:rFonts w:ascii="Calibri" w:hAnsi="Calibri"/>
          <w:color w:val="000000"/>
          <w:szCs w:val="24"/>
        </w:rPr>
      </w:pPr>
    </w:p>
    <w:p w14:paraId="7C59B1B2"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Comment comptabiliser les agents en fonction de leur quotité de travail ?</w:t>
      </w:r>
    </w:p>
    <w:p w14:paraId="1802F932" w14:textId="77777777" w:rsidR="009F3A48" w:rsidRPr="009F3A48" w:rsidRDefault="009F3A48" w:rsidP="009F3A48">
      <w:pPr>
        <w:jc w:val="both"/>
        <w:rPr>
          <w:rFonts w:ascii="Calibri" w:hAnsi="Calibri"/>
          <w:i/>
          <w:color w:val="E36C0A"/>
          <w:szCs w:val="24"/>
        </w:rPr>
      </w:pPr>
      <w:r w:rsidRPr="009F3A48">
        <w:rPr>
          <w:rFonts w:ascii="Calibri" w:hAnsi="Calibri"/>
          <w:i/>
          <w:color w:val="E36C0A"/>
          <w:szCs w:val="24"/>
        </w:rPr>
        <w:t>Indicateurs 1.4.1 et 1.4.3</w:t>
      </w:r>
    </w:p>
    <w:p w14:paraId="451EACA2" w14:textId="77777777" w:rsidR="009F3A48" w:rsidRPr="009F3A48" w:rsidRDefault="009F3A48" w:rsidP="009F3A48">
      <w:pPr>
        <w:jc w:val="both"/>
        <w:rPr>
          <w:rFonts w:ascii="Calibri" w:hAnsi="Calibri" w:cs="Calibri"/>
          <w:color w:val="C00000"/>
          <w:szCs w:val="24"/>
        </w:rPr>
      </w:pPr>
      <w:r w:rsidRPr="009F3A48">
        <w:rPr>
          <w:rFonts w:ascii="Calibri" w:hAnsi="Calibri" w:cs="Calibri"/>
          <w:szCs w:val="24"/>
        </w:rPr>
        <w:t>L’indicateur 1.4.1 ayant vocation à recenser les positions statutaires particulières en nombre de personnes physiques, tous les agents doivent être recensés indépendamment de leur quotité de travail. Cela inclut les mises à disposition partielles.</w:t>
      </w:r>
    </w:p>
    <w:p w14:paraId="44D1A8E7" w14:textId="77777777" w:rsidR="009F3A48" w:rsidRPr="009F3A48" w:rsidRDefault="009F3A48" w:rsidP="009F3A48">
      <w:pPr>
        <w:jc w:val="both"/>
        <w:rPr>
          <w:rFonts w:ascii="Calibri" w:hAnsi="Calibri" w:cs="Calibri"/>
          <w:color w:val="C00000"/>
          <w:szCs w:val="24"/>
        </w:rPr>
      </w:pPr>
    </w:p>
    <w:p w14:paraId="3A498EE5" w14:textId="77777777" w:rsidR="009F3A48" w:rsidRPr="009F3A48" w:rsidRDefault="009F3A48" w:rsidP="009F3A48">
      <w:pPr>
        <w:jc w:val="both"/>
        <w:rPr>
          <w:rFonts w:ascii="Calibri" w:hAnsi="Calibri" w:cs="Calibri"/>
          <w:szCs w:val="24"/>
        </w:rPr>
      </w:pPr>
      <w:r w:rsidRPr="009F3A48">
        <w:rPr>
          <w:rFonts w:ascii="Calibri" w:hAnsi="Calibri" w:cs="Calibri"/>
          <w:szCs w:val="24"/>
        </w:rPr>
        <w:t>L’indicateur 1.4.3 ayant vocation à recenser les mises à disposition en nombre de personnes physiques, tous les agents doivent être recensés indépendamment de leur quotité de travail. Cela inclut les mises à disposition partielles.</w:t>
      </w:r>
    </w:p>
    <w:p w14:paraId="7C29A41B" w14:textId="77777777" w:rsidR="009F3A48" w:rsidRPr="009F3A48" w:rsidRDefault="009F3A48" w:rsidP="009F3A48">
      <w:pPr>
        <w:jc w:val="both"/>
        <w:rPr>
          <w:rFonts w:ascii="Calibri" w:hAnsi="Calibri"/>
          <w:color w:val="000000"/>
          <w:szCs w:val="24"/>
        </w:rPr>
      </w:pPr>
    </w:p>
    <w:p w14:paraId="64899359"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Faut-il comptabiliser les agents en service civique ?</w:t>
      </w:r>
    </w:p>
    <w:p w14:paraId="0CE69AC5" w14:textId="77777777" w:rsidR="009F3A48" w:rsidRPr="009F3A48" w:rsidRDefault="009F3A48" w:rsidP="009F3A48">
      <w:pPr>
        <w:spacing w:after="120"/>
        <w:jc w:val="both"/>
        <w:rPr>
          <w:rFonts w:ascii="Calibri" w:hAnsi="Calibri"/>
          <w:i/>
          <w:iCs/>
          <w:color w:val="000000"/>
          <w:szCs w:val="24"/>
        </w:rPr>
      </w:pPr>
      <w:r w:rsidRPr="009F3A48">
        <w:rPr>
          <w:rFonts w:ascii="Calibri" w:hAnsi="Calibri"/>
          <w:color w:val="000000"/>
          <w:szCs w:val="24"/>
        </w:rPr>
        <w:t xml:space="preserve">Il ne faut pas compter les services civiques : ils ne sont pas rémunérés mais indemnisés, comme pour les stagiaires de l’enseignement. Même si un contrat est bien signé entre le volontaire et la personne morale, il ne s’agit pas d’un contrat de travail. Il est indiqué à l’article L120-7 du code du service national : </w:t>
      </w:r>
      <w:r w:rsidRPr="009F3A48">
        <w:rPr>
          <w:rFonts w:ascii="Calibri" w:hAnsi="Calibri"/>
          <w:szCs w:val="24"/>
        </w:rPr>
        <w:t xml:space="preserve">«  </w:t>
      </w:r>
      <w:r w:rsidRPr="009F3A48">
        <w:rPr>
          <w:rFonts w:ascii="Calibri" w:hAnsi="Calibri"/>
          <w:i/>
          <w:iCs/>
          <w:szCs w:val="24"/>
        </w:rPr>
        <w:t>Le contrat mentionné à </w:t>
      </w:r>
      <w:hyperlink r:id="rId12" w:history="1">
        <w:r w:rsidRPr="009F3A48">
          <w:rPr>
            <w:rFonts w:ascii="Calibri" w:hAnsi="Calibri"/>
            <w:i/>
            <w:iCs/>
            <w:szCs w:val="24"/>
          </w:rPr>
          <w:t>l’article L. 120-3</w:t>
        </w:r>
      </w:hyperlink>
      <w:r w:rsidRPr="009F3A48">
        <w:rPr>
          <w:rFonts w:ascii="Calibri" w:hAnsi="Calibri"/>
          <w:i/>
          <w:iCs/>
          <w:szCs w:val="24"/>
        </w:rPr>
        <w:t>, conclu par écrit, organise une collaboration exclusive de tout lien de subordination entre l’un des organismes ou l’une des personnes morales agréées mentionnées au II de </w:t>
      </w:r>
      <w:hyperlink r:id="rId13" w:history="1">
        <w:r w:rsidRPr="009F3A48">
          <w:rPr>
            <w:rFonts w:ascii="Calibri" w:hAnsi="Calibri"/>
            <w:i/>
            <w:iCs/>
            <w:szCs w:val="24"/>
          </w:rPr>
          <w:t>l’article L. 120-1 </w:t>
        </w:r>
      </w:hyperlink>
      <w:r w:rsidRPr="009F3A48">
        <w:rPr>
          <w:rFonts w:ascii="Calibri" w:hAnsi="Calibri"/>
          <w:i/>
          <w:iCs/>
          <w:szCs w:val="24"/>
        </w:rPr>
        <w:t>et la personne volontaire. Le contrat ne relève pas des dispositions du code du travail</w:t>
      </w:r>
      <w:r w:rsidRPr="009F3A48">
        <w:rPr>
          <w:rFonts w:ascii="Calibri" w:hAnsi="Calibri"/>
          <w:szCs w:val="24"/>
        </w:rPr>
        <w:t>. »</w:t>
      </w:r>
    </w:p>
    <w:p w14:paraId="05CC3E74" w14:textId="77777777" w:rsidR="009F3A48" w:rsidRPr="009F3A48" w:rsidRDefault="009F3A48" w:rsidP="009F3A48">
      <w:pPr>
        <w:jc w:val="both"/>
        <w:rPr>
          <w:rFonts w:ascii="Calibri" w:hAnsi="Calibri"/>
          <w:color w:val="000000"/>
          <w:szCs w:val="24"/>
        </w:rPr>
      </w:pPr>
    </w:p>
    <w:p w14:paraId="0784952D"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Où saisir les agents en contrat d’engagement éducatif ?</w:t>
      </w:r>
    </w:p>
    <w:p w14:paraId="045B9932" w14:textId="77777777" w:rsidR="009F3A48" w:rsidRPr="009F3A48" w:rsidRDefault="009F3A48" w:rsidP="009F3A48">
      <w:pPr>
        <w:jc w:val="both"/>
        <w:rPr>
          <w:rFonts w:ascii="Calibri" w:hAnsi="Calibri" w:cs="Arial"/>
          <w:i/>
          <w:color w:val="E36C0A"/>
          <w:szCs w:val="24"/>
        </w:rPr>
      </w:pPr>
      <w:r w:rsidRPr="009F3A48">
        <w:rPr>
          <w:rFonts w:ascii="Calibri" w:hAnsi="Calibri"/>
          <w:color w:val="000000"/>
          <w:szCs w:val="24"/>
        </w:rPr>
        <w:t xml:space="preserve">Il faut recenser les contrats d’engagement éducatif dans la ligne « Autres » de </w:t>
      </w:r>
      <w:r w:rsidRPr="009F3A48">
        <w:rPr>
          <w:rFonts w:ascii="Calibri" w:hAnsi="Calibri" w:cs="Arial"/>
          <w:i/>
          <w:color w:val="E36C0A"/>
          <w:szCs w:val="24"/>
        </w:rPr>
        <w:t>l’indicateur 1.3.1.</w:t>
      </w:r>
    </w:p>
    <w:p w14:paraId="4910CF55" w14:textId="77777777" w:rsidR="009F3A48" w:rsidRPr="009F3A48" w:rsidRDefault="009F3A48" w:rsidP="009F3A48">
      <w:pPr>
        <w:jc w:val="both"/>
        <w:rPr>
          <w:rFonts w:ascii="Calibri" w:hAnsi="Calibri" w:cs="Arial"/>
          <w:i/>
          <w:color w:val="E36C0A"/>
          <w:szCs w:val="24"/>
        </w:rPr>
      </w:pPr>
    </w:p>
    <w:p w14:paraId="24EEC440" w14:textId="77777777" w:rsidR="009F3A48" w:rsidRPr="009F3A48" w:rsidRDefault="009F3A48" w:rsidP="009F3A48">
      <w:pPr>
        <w:overflowPunct/>
        <w:autoSpaceDE/>
        <w:autoSpaceDN/>
        <w:adjustRightInd/>
        <w:jc w:val="both"/>
        <w:textAlignment w:val="auto"/>
        <w:rPr>
          <w:rFonts w:ascii="Calibri" w:hAnsi="Calibri"/>
          <w:b/>
          <w:color w:val="00B0F0"/>
          <w:szCs w:val="24"/>
        </w:rPr>
      </w:pPr>
      <w:r w:rsidRPr="009F3A48">
        <w:rPr>
          <w:rFonts w:ascii="Calibri" w:hAnsi="Calibri"/>
          <w:b/>
          <w:color w:val="00B0F0"/>
        </w:rPr>
        <w:t>O</w:t>
      </w:r>
      <w:r w:rsidRPr="009F3A48">
        <w:rPr>
          <w:rFonts w:ascii="Calibri" w:hAnsi="Calibri"/>
          <w:b/>
          <w:color w:val="00B0F0"/>
          <w:szCs w:val="24"/>
        </w:rPr>
        <w:t>ù saisir les membres de jury de concours ?</w:t>
      </w:r>
    </w:p>
    <w:p w14:paraId="76EB92F4" w14:textId="77777777" w:rsidR="009F3A48" w:rsidRPr="009F3A48" w:rsidRDefault="009F3A48" w:rsidP="009F3A48">
      <w:pPr>
        <w:overflowPunct/>
        <w:autoSpaceDE/>
        <w:autoSpaceDN/>
        <w:adjustRightInd/>
        <w:jc w:val="both"/>
        <w:textAlignment w:val="auto"/>
        <w:rPr>
          <w:rFonts w:ascii="Calibri" w:hAnsi="Calibri"/>
          <w:color w:val="000000"/>
          <w:szCs w:val="24"/>
        </w:rPr>
      </w:pPr>
      <w:r w:rsidRPr="009F3A48">
        <w:rPr>
          <w:rFonts w:ascii="Calibri" w:hAnsi="Calibri"/>
          <w:color w:val="000000"/>
          <w:szCs w:val="24"/>
        </w:rPr>
        <w:t xml:space="preserve">Ils sont à recenser à la catégorie « Autres » à </w:t>
      </w:r>
      <w:r w:rsidRPr="009F3A48">
        <w:rPr>
          <w:rFonts w:ascii="Calibri" w:hAnsi="Calibri" w:cs="Arial"/>
          <w:i/>
          <w:color w:val="E36C0A"/>
          <w:szCs w:val="24"/>
        </w:rPr>
        <w:t>l’indicateur 1.3.1</w:t>
      </w:r>
      <w:r w:rsidRPr="009F3A48">
        <w:rPr>
          <w:rFonts w:ascii="Calibri" w:hAnsi="Calibri"/>
          <w:color w:val="000000"/>
          <w:szCs w:val="24"/>
        </w:rPr>
        <w:t>.</w:t>
      </w:r>
    </w:p>
    <w:p w14:paraId="46719453" w14:textId="77777777" w:rsidR="009F3A48" w:rsidRPr="009F3A48" w:rsidRDefault="009F3A48" w:rsidP="009F3A48">
      <w:pPr>
        <w:overflowPunct/>
        <w:autoSpaceDE/>
        <w:autoSpaceDN/>
        <w:adjustRightInd/>
        <w:jc w:val="both"/>
        <w:textAlignment w:val="auto"/>
        <w:rPr>
          <w:rFonts w:ascii="Calibri" w:hAnsi="Calibri"/>
          <w:color w:val="000000"/>
          <w:szCs w:val="24"/>
        </w:rPr>
      </w:pPr>
    </w:p>
    <w:p w14:paraId="0E540D65" w14:textId="77777777" w:rsidR="009F3A48" w:rsidRPr="009F3A48" w:rsidRDefault="009F3A48" w:rsidP="009F3A48">
      <w:pPr>
        <w:overflowPunct/>
        <w:autoSpaceDE/>
        <w:autoSpaceDN/>
        <w:adjustRightInd/>
        <w:jc w:val="both"/>
        <w:textAlignment w:val="auto"/>
        <w:rPr>
          <w:rFonts w:ascii="Calibri" w:hAnsi="Calibri"/>
          <w:b/>
          <w:color w:val="00B0F0"/>
          <w:szCs w:val="24"/>
        </w:rPr>
      </w:pPr>
      <w:r w:rsidRPr="009F3A48">
        <w:rPr>
          <w:rFonts w:ascii="Calibri" w:hAnsi="Calibri"/>
          <w:b/>
          <w:color w:val="00B0F0"/>
          <w:szCs w:val="24"/>
        </w:rPr>
        <w:t>Où comptabiliser un agent régisseur qui ne relève pas de la collectivité ?</w:t>
      </w:r>
    </w:p>
    <w:p w14:paraId="49929BFB" w14:textId="77777777" w:rsidR="009F3A48" w:rsidRPr="009F3A48" w:rsidRDefault="009F3A48" w:rsidP="009F3A48">
      <w:pPr>
        <w:jc w:val="both"/>
        <w:rPr>
          <w:rFonts w:ascii="Calibri" w:hAnsi="Calibri" w:cs="Calibri"/>
          <w:szCs w:val="24"/>
        </w:rPr>
      </w:pPr>
      <w:r w:rsidRPr="009F3A48">
        <w:rPr>
          <w:rFonts w:ascii="Calibri" w:hAnsi="Calibri" w:cs="Calibri"/>
          <w:szCs w:val="24"/>
        </w:rPr>
        <w:t xml:space="preserve">S’il ne s’agit pas d’agents de la collectivité, les agents qui perçoivent des indemnités de régie de recette (ou régisseurs) sont à comptabiliser dans la catégorie « autres » à </w:t>
      </w:r>
      <w:r w:rsidRPr="009F3A48">
        <w:rPr>
          <w:rFonts w:ascii="Calibri" w:hAnsi="Calibri" w:cs="Arial"/>
          <w:i/>
          <w:color w:val="E36C0A"/>
          <w:szCs w:val="24"/>
        </w:rPr>
        <w:t>l’indicateur 1.3.1</w:t>
      </w:r>
      <w:r w:rsidRPr="009F3A48">
        <w:rPr>
          <w:rFonts w:ascii="Calibri" w:hAnsi="Calibri" w:cs="Calibri"/>
          <w:szCs w:val="24"/>
        </w:rPr>
        <w:t>.</w:t>
      </w:r>
    </w:p>
    <w:p w14:paraId="4B6356B8" w14:textId="77777777" w:rsidR="00550DFD" w:rsidRDefault="00550DFD" w:rsidP="00E5593B">
      <w:pPr>
        <w:jc w:val="both"/>
        <w:rPr>
          <w:rFonts w:cs="Arial"/>
          <w:b/>
          <w:color w:val="00B0F0"/>
          <w:szCs w:val="24"/>
        </w:rPr>
      </w:pPr>
    </w:p>
    <w:p w14:paraId="3F870A3F" w14:textId="649536C7" w:rsidR="00E5593B" w:rsidRPr="00337722" w:rsidRDefault="00E5593B" w:rsidP="00E5593B">
      <w:pPr>
        <w:jc w:val="both"/>
        <w:rPr>
          <w:rFonts w:cs="Arial"/>
          <w:b/>
          <w:color w:val="00B0F0"/>
          <w:szCs w:val="24"/>
        </w:rPr>
      </w:pPr>
      <w:r w:rsidRPr="00337722">
        <w:rPr>
          <w:rFonts w:cs="Arial"/>
          <w:b/>
          <w:color w:val="00B0F0"/>
          <w:szCs w:val="24"/>
        </w:rPr>
        <w:t>Quels sont les agents pouvant être comptabilisés</w:t>
      </w:r>
      <w:r>
        <w:rPr>
          <w:rFonts w:cs="Arial"/>
          <w:b/>
          <w:color w:val="00B0F0"/>
          <w:szCs w:val="24"/>
        </w:rPr>
        <w:t xml:space="preserve"> comme travailleurs Handicapés ou BOETH – Bénéficiaires de l’obligation d’emploi de travailleurs handicapés</w:t>
      </w:r>
      <w:r w:rsidRPr="00337722">
        <w:rPr>
          <w:rFonts w:cs="Arial"/>
          <w:b/>
          <w:color w:val="00B0F0"/>
          <w:szCs w:val="24"/>
        </w:rPr>
        <w:t xml:space="preserve"> ?</w:t>
      </w:r>
    </w:p>
    <w:p w14:paraId="3AA0EFCC" w14:textId="77777777" w:rsidR="00E5593B" w:rsidRPr="00A65814" w:rsidRDefault="00E5593B" w:rsidP="00E5593B">
      <w:pPr>
        <w:jc w:val="both"/>
        <w:rPr>
          <w:rFonts w:cs="Arial"/>
          <w:i/>
          <w:color w:val="E36C0A" w:themeColor="accent6" w:themeShade="BF"/>
          <w:szCs w:val="24"/>
        </w:rPr>
      </w:pPr>
      <w:r>
        <w:rPr>
          <w:rFonts w:cs="Arial"/>
          <w:i/>
          <w:color w:val="E36C0A" w:themeColor="accent6" w:themeShade="BF"/>
          <w:szCs w:val="24"/>
        </w:rPr>
        <w:t>Indicateur 1.6.1 – « </w:t>
      </w:r>
      <w:r w:rsidRPr="00A65814">
        <w:rPr>
          <w:rFonts w:cs="Arial"/>
          <w:i/>
          <w:color w:val="E36C0A" w:themeColor="accent6" w:themeShade="BF"/>
          <w:szCs w:val="24"/>
        </w:rPr>
        <w:t>Nombre d'agents handicapés par catégorie hiérarchique, statut et sexe</w:t>
      </w:r>
      <w:r>
        <w:rPr>
          <w:rFonts w:cs="Arial"/>
          <w:i/>
          <w:color w:val="E36C0A" w:themeColor="accent6" w:themeShade="BF"/>
          <w:szCs w:val="24"/>
        </w:rPr>
        <w:t> »</w:t>
      </w:r>
    </w:p>
    <w:p w14:paraId="4B1C47F0" w14:textId="77777777" w:rsidR="00E5593B" w:rsidRPr="00F35E72" w:rsidRDefault="00E5593B" w:rsidP="00E5593B">
      <w:pPr>
        <w:jc w:val="both"/>
        <w:rPr>
          <w:color w:val="000000"/>
          <w:szCs w:val="24"/>
        </w:rPr>
      </w:pPr>
      <w:r w:rsidRPr="00F35E72">
        <w:rPr>
          <w:color w:val="000000"/>
          <w:szCs w:val="24"/>
        </w:rPr>
        <w:t>Références</w:t>
      </w:r>
      <w:r>
        <w:rPr>
          <w:color w:val="000000"/>
          <w:szCs w:val="24"/>
        </w:rPr>
        <w:t xml:space="preserve"> </w:t>
      </w:r>
      <w:r w:rsidRPr="00F35E72">
        <w:rPr>
          <w:color w:val="000000"/>
          <w:szCs w:val="24"/>
        </w:rPr>
        <w:t xml:space="preserve">: </w:t>
      </w:r>
    </w:p>
    <w:p w14:paraId="1700B26F" w14:textId="77777777" w:rsidR="00E5593B" w:rsidRPr="00796737" w:rsidRDefault="00E5593B" w:rsidP="00E5593B">
      <w:pPr>
        <w:pStyle w:val="Paragraphedeliste"/>
        <w:numPr>
          <w:ilvl w:val="0"/>
          <w:numId w:val="16"/>
        </w:numPr>
        <w:jc w:val="both"/>
        <w:rPr>
          <w:color w:val="000000"/>
          <w:szCs w:val="24"/>
        </w:rPr>
      </w:pPr>
      <w:r w:rsidRPr="00796737">
        <w:rPr>
          <w:color w:val="000000"/>
          <w:szCs w:val="24"/>
        </w:rPr>
        <w:lastRenderedPageBreak/>
        <w:t>Article L. 5212-13 du Code du Travail</w:t>
      </w:r>
      <w:r>
        <w:rPr>
          <w:color w:val="000000"/>
          <w:szCs w:val="24"/>
        </w:rPr>
        <w:t>,</w:t>
      </w:r>
    </w:p>
    <w:p w14:paraId="10CA038D" w14:textId="77777777" w:rsidR="00E5593B" w:rsidRPr="00796737" w:rsidRDefault="00E5593B" w:rsidP="00E5593B">
      <w:pPr>
        <w:pStyle w:val="Paragraphedeliste"/>
        <w:numPr>
          <w:ilvl w:val="0"/>
          <w:numId w:val="16"/>
        </w:numPr>
        <w:spacing w:after="120"/>
        <w:jc w:val="both"/>
        <w:rPr>
          <w:color w:val="000000"/>
          <w:szCs w:val="24"/>
        </w:rPr>
      </w:pPr>
      <w:r w:rsidRPr="00796737">
        <w:rPr>
          <w:color w:val="000000"/>
          <w:szCs w:val="24"/>
        </w:rPr>
        <w:t xml:space="preserve">Articles 1 et 2 du Décret n° 85-1054 </w:t>
      </w:r>
      <w:r w:rsidRPr="00796737">
        <w:rPr>
          <w:bCs/>
          <w:color w:val="000000"/>
          <w:szCs w:val="24"/>
        </w:rPr>
        <w:t>du 30 septembre 1985 relatif au reclassement des fonctionnaires territoriaux reconnus inaptes à l'exercice de leurs fonctions.</w:t>
      </w:r>
    </w:p>
    <w:p w14:paraId="30F6E6AE" w14:textId="77777777" w:rsidR="00E5593B" w:rsidRPr="00C72249" w:rsidRDefault="00E5593B" w:rsidP="00E5593B">
      <w:pPr>
        <w:spacing w:after="120"/>
        <w:jc w:val="both"/>
        <w:rPr>
          <w:color w:val="000000"/>
          <w:szCs w:val="24"/>
        </w:rPr>
      </w:pPr>
      <w:r w:rsidRPr="00C72249">
        <w:rPr>
          <w:color w:val="000000"/>
          <w:szCs w:val="24"/>
        </w:rPr>
        <w:t>Font partie des Bénéficiaires de l’Obligation d’Emploi de Travailleurs Handicapés (BOETH) les catégories ci-dessous :</w:t>
      </w:r>
    </w:p>
    <w:p w14:paraId="0AFC6C5E" w14:textId="02624C04" w:rsidR="00E5593B" w:rsidRPr="00F90708" w:rsidRDefault="00EB4EA4" w:rsidP="00E5593B">
      <w:pPr>
        <w:pStyle w:val="Paragraphedeliste"/>
        <w:numPr>
          <w:ilvl w:val="0"/>
          <w:numId w:val="16"/>
        </w:numPr>
        <w:jc w:val="both"/>
        <w:rPr>
          <w:color w:val="000000" w:themeColor="text1"/>
          <w:szCs w:val="24"/>
        </w:rPr>
      </w:pPr>
      <w:r w:rsidRPr="00F90708">
        <w:rPr>
          <w:color w:val="000000" w:themeColor="text1"/>
          <w:szCs w:val="24"/>
        </w:rPr>
        <w:t>L</w:t>
      </w:r>
      <w:r w:rsidR="00E5593B" w:rsidRPr="00F90708">
        <w:rPr>
          <w:color w:val="000000" w:themeColor="text1"/>
          <w:szCs w:val="24"/>
        </w:rPr>
        <w:t>es personnes ayant obtenu une reconnaissance de la qualité de travailleur handicapé (RQTH) par la commission des droits et de l’autonomie des personnes handicapées (CDAPH), anciennement COTOREP</w:t>
      </w:r>
    </w:p>
    <w:p w14:paraId="10D60CBF" w14:textId="77777777" w:rsidR="00E5593B" w:rsidRPr="00F90708" w:rsidRDefault="00E5593B" w:rsidP="00E5593B">
      <w:pPr>
        <w:pStyle w:val="Paragraphedeliste"/>
        <w:numPr>
          <w:ilvl w:val="0"/>
          <w:numId w:val="16"/>
        </w:numPr>
        <w:jc w:val="both"/>
        <w:rPr>
          <w:color w:val="000000" w:themeColor="text1"/>
          <w:szCs w:val="24"/>
        </w:rPr>
      </w:pPr>
      <w:r w:rsidRPr="00F90708">
        <w:rPr>
          <w:color w:val="000000" w:themeColor="text1"/>
          <w:szCs w:val="24"/>
        </w:rPr>
        <w:t>Les bénéficiaires d’une allocation temporaire d’invalidité des agents des collectivités locales (ATIACL)</w:t>
      </w:r>
    </w:p>
    <w:p w14:paraId="7EB3B082" w14:textId="6573A876" w:rsidR="00E5593B" w:rsidRPr="00A94701" w:rsidRDefault="00E5593B" w:rsidP="00E5593B">
      <w:pPr>
        <w:pStyle w:val="Paragraphedeliste"/>
        <w:numPr>
          <w:ilvl w:val="0"/>
          <w:numId w:val="16"/>
        </w:numPr>
        <w:jc w:val="both"/>
        <w:rPr>
          <w:color w:val="00B050"/>
          <w:szCs w:val="24"/>
        </w:rPr>
      </w:pPr>
      <w:r w:rsidRPr="00F90708">
        <w:rPr>
          <w:color w:val="000000" w:themeColor="text1"/>
          <w:szCs w:val="24"/>
        </w:rPr>
        <w:t>Les agents reclassés</w:t>
      </w:r>
      <w:r w:rsidRPr="00C77DAA">
        <w:rPr>
          <w:color w:val="000000" w:themeColor="text1"/>
          <w:szCs w:val="24"/>
        </w:rPr>
        <w:t xml:space="preserve"> </w:t>
      </w:r>
      <w:r w:rsidRPr="00A94701">
        <w:rPr>
          <w:szCs w:val="24"/>
        </w:rPr>
        <w:t>(</w:t>
      </w:r>
      <w:r w:rsidR="00A94701" w:rsidRPr="00A94701">
        <w:rPr>
          <w:szCs w:val="24"/>
        </w:rPr>
        <w:t xml:space="preserve">ou </w:t>
      </w:r>
      <w:r w:rsidRPr="00A94701">
        <w:rPr>
          <w:szCs w:val="24"/>
        </w:rPr>
        <w:t>en Période de Préparation au Reclassement)</w:t>
      </w:r>
    </w:p>
    <w:p w14:paraId="4E87631C" w14:textId="77777777" w:rsidR="00E5593B" w:rsidRPr="00F90708" w:rsidRDefault="00E5593B" w:rsidP="00E5593B">
      <w:pPr>
        <w:pStyle w:val="Paragraphedeliste"/>
        <w:numPr>
          <w:ilvl w:val="0"/>
          <w:numId w:val="16"/>
        </w:numPr>
        <w:jc w:val="both"/>
        <w:rPr>
          <w:color w:val="000000" w:themeColor="text1"/>
          <w:szCs w:val="24"/>
        </w:rPr>
      </w:pPr>
      <w:r w:rsidRPr="00F90708">
        <w:rPr>
          <w:color w:val="000000" w:themeColor="text1"/>
          <w:szCs w:val="24"/>
        </w:rPr>
        <w:t>Les titulaires de l’allocation adulte handicapé (AAH)</w:t>
      </w:r>
    </w:p>
    <w:p w14:paraId="3AF21AFD" w14:textId="77777777" w:rsidR="00E5593B" w:rsidRPr="00F90708" w:rsidRDefault="00E5593B" w:rsidP="00E5593B">
      <w:pPr>
        <w:pStyle w:val="Paragraphedeliste"/>
        <w:numPr>
          <w:ilvl w:val="0"/>
          <w:numId w:val="16"/>
        </w:numPr>
        <w:jc w:val="both"/>
        <w:rPr>
          <w:color w:val="000000" w:themeColor="text1"/>
          <w:szCs w:val="24"/>
        </w:rPr>
      </w:pPr>
      <w:r w:rsidRPr="00F90708">
        <w:rPr>
          <w:color w:val="000000" w:themeColor="text1"/>
          <w:szCs w:val="24"/>
        </w:rPr>
        <w:t>Les veuves de guerre</w:t>
      </w:r>
    </w:p>
    <w:p w14:paraId="75023260" w14:textId="77777777" w:rsidR="00E5593B" w:rsidRPr="00F90708" w:rsidRDefault="00E5593B" w:rsidP="00E5593B">
      <w:pPr>
        <w:pStyle w:val="Paragraphedeliste"/>
        <w:numPr>
          <w:ilvl w:val="0"/>
          <w:numId w:val="16"/>
        </w:numPr>
        <w:jc w:val="both"/>
        <w:rPr>
          <w:color w:val="000000" w:themeColor="text1"/>
          <w:szCs w:val="24"/>
        </w:rPr>
      </w:pPr>
      <w:r w:rsidRPr="00F90708">
        <w:rPr>
          <w:color w:val="000000" w:themeColor="text1"/>
          <w:szCs w:val="24"/>
        </w:rPr>
        <w:t>Les orphelins de guerre de moins de 21 ans et mères veuves</w:t>
      </w:r>
    </w:p>
    <w:p w14:paraId="70537E3D" w14:textId="77777777" w:rsidR="00E5593B" w:rsidRPr="00A94701" w:rsidRDefault="00E5593B" w:rsidP="00E5593B">
      <w:pPr>
        <w:pStyle w:val="Paragraphedeliste"/>
        <w:numPr>
          <w:ilvl w:val="0"/>
          <w:numId w:val="16"/>
        </w:numPr>
        <w:jc w:val="both"/>
        <w:rPr>
          <w:szCs w:val="24"/>
        </w:rPr>
      </w:pPr>
      <w:r w:rsidRPr="00F90708">
        <w:rPr>
          <w:color w:val="000000" w:themeColor="text1"/>
          <w:szCs w:val="24"/>
        </w:rPr>
        <w:t xml:space="preserve">Les titulaires d’une " rente " d’accidents du travail ou maladies professionnelles si incapacité permanente supérieure </w:t>
      </w:r>
      <w:r w:rsidRPr="00A94701">
        <w:rPr>
          <w:szCs w:val="24"/>
        </w:rPr>
        <w:t>ou égale à 10%</w:t>
      </w:r>
    </w:p>
    <w:p w14:paraId="4E1EE39E" w14:textId="77777777" w:rsidR="00E5593B" w:rsidRPr="00A94701" w:rsidRDefault="00E5593B" w:rsidP="00E5593B">
      <w:pPr>
        <w:pStyle w:val="Paragraphedeliste"/>
        <w:numPr>
          <w:ilvl w:val="0"/>
          <w:numId w:val="16"/>
        </w:numPr>
        <w:jc w:val="both"/>
        <w:rPr>
          <w:szCs w:val="24"/>
        </w:rPr>
      </w:pPr>
      <w:r w:rsidRPr="00A94701">
        <w:rPr>
          <w:szCs w:val="24"/>
        </w:rPr>
        <w:t>Les sapeurs-pompiers volontaires titulaires d’une allocation/rente</w:t>
      </w:r>
    </w:p>
    <w:p w14:paraId="120F0F2D" w14:textId="1F13CE3B" w:rsidR="00E5593B" w:rsidRPr="00A94701" w:rsidRDefault="00E5593B" w:rsidP="00E5593B">
      <w:pPr>
        <w:pStyle w:val="Paragraphedeliste"/>
        <w:numPr>
          <w:ilvl w:val="0"/>
          <w:numId w:val="16"/>
        </w:numPr>
        <w:jc w:val="both"/>
        <w:rPr>
          <w:szCs w:val="24"/>
        </w:rPr>
      </w:pPr>
      <w:r w:rsidRPr="00A94701">
        <w:rPr>
          <w:szCs w:val="24"/>
        </w:rPr>
        <w:t>Les titulaires de la carte d’invalidité (définie à l’article L.241-3 du code de l’action sociale et des familles)</w:t>
      </w:r>
    </w:p>
    <w:p w14:paraId="66C5DE9A" w14:textId="77777777" w:rsidR="00E5593B" w:rsidRPr="00A94701" w:rsidRDefault="00E5593B" w:rsidP="00E5593B">
      <w:pPr>
        <w:pStyle w:val="Paragraphedeliste"/>
        <w:numPr>
          <w:ilvl w:val="0"/>
          <w:numId w:val="16"/>
        </w:numPr>
        <w:jc w:val="both"/>
        <w:rPr>
          <w:szCs w:val="24"/>
        </w:rPr>
      </w:pPr>
      <w:r w:rsidRPr="00A94701">
        <w:rPr>
          <w:szCs w:val="24"/>
        </w:rPr>
        <w:t>Les titulaires d’un emploi réservé (blessés des armées)</w:t>
      </w:r>
    </w:p>
    <w:p w14:paraId="4FF9AF0F" w14:textId="77777777" w:rsidR="00E5593B" w:rsidRPr="00A94701" w:rsidRDefault="00E5593B" w:rsidP="00E5593B">
      <w:pPr>
        <w:pStyle w:val="Paragraphedeliste"/>
        <w:numPr>
          <w:ilvl w:val="0"/>
          <w:numId w:val="16"/>
        </w:numPr>
        <w:jc w:val="both"/>
        <w:rPr>
          <w:szCs w:val="24"/>
        </w:rPr>
      </w:pPr>
      <w:r w:rsidRPr="00A94701">
        <w:rPr>
          <w:szCs w:val="24"/>
        </w:rPr>
        <w:t>Les titulaires d’une pension d’invalidité si l’invalidité réduit d’au moins 2/3 la capacité de gain ou de travail, les titulaires d’une pension militaire d’invalidité.</w:t>
      </w:r>
    </w:p>
    <w:p w14:paraId="38BDA89E" w14:textId="77777777" w:rsidR="00E5593B" w:rsidRPr="00C0631E" w:rsidRDefault="00E5593B" w:rsidP="00E5593B">
      <w:pPr>
        <w:jc w:val="both"/>
        <w:rPr>
          <w:color w:val="000000"/>
          <w:szCs w:val="24"/>
        </w:rPr>
      </w:pPr>
    </w:p>
    <w:p w14:paraId="5EFA8AE4" w14:textId="77777777" w:rsidR="00E5593B" w:rsidRPr="00440BFA" w:rsidRDefault="00E5593B" w:rsidP="00E5593B">
      <w:pPr>
        <w:jc w:val="both"/>
        <w:rPr>
          <w:rFonts w:cs="Arial"/>
          <w:b/>
          <w:color w:val="00B0F0"/>
          <w:szCs w:val="24"/>
        </w:rPr>
      </w:pPr>
      <w:r w:rsidRPr="00440BFA">
        <w:rPr>
          <w:rFonts w:cs="Arial"/>
          <w:b/>
          <w:color w:val="00B0F0"/>
          <w:szCs w:val="24"/>
        </w:rPr>
        <w:t>Comment sont comptabilisés les BOETH – Bénéficiaires de l’obligation d’emploi de travailleurs handicapés – à partir du 50</w:t>
      </w:r>
      <w:r w:rsidRPr="00440BFA">
        <w:rPr>
          <w:rFonts w:cs="Arial"/>
          <w:b/>
          <w:color w:val="00B0F0"/>
          <w:szCs w:val="24"/>
          <w:vertAlign w:val="superscript"/>
        </w:rPr>
        <w:t>ème</w:t>
      </w:r>
      <w:r w:rsidRPr="00440BFA">
        <w:rPr>
          <w:rFonts w:cs="Arial"/>
          <w:b/>
          <w:color w:val="00B0F0"/>
          <w:szCs w:val="24"/>
        </w:rPr>
        <w:t xml:space="preserve"> anniversaire ?</w:t>
      </w:r>
    </w:p>
    <w:p w14:paraId="4CAF3055" w14:textId="75CA8A6A" w:rsidR="00E5593B" w:rsidRPr="00440BFA" w:rsidRDefault="00E5593B" w:rsidP="00E5593B">
      <w:pPr>
        <w:jc w:val="both"/>
        <w:rPr>
          <w:rFonts w:cs="Arial"/>
          <w:i/>
          <w:color w:val="E36C0A" w:themeColor="accent6" w:themeShade="BF"/>
          <w:szCs w:val="24"/>
        </w:rPr>
      </w:pPr>
      <w:r w:rsidRPr="00440BFA">
        <w:rPr>
          <w:rFonts w:cs="Arial"/>
          <w:i/>
          <w:color w:val="E36C0A" w:themeColor="accent6" w:themeShade="BF"/>
          <w:szCs w:val="24"/>
        </w:rPr>
        <w:t>Indicateur 1.6.1 – « Nombre d'agents handicapés par catégorie hiérarchique, statut et sexe »</w:t>
      </w:r>
    </w:p>
    <w:p w14:paraId="77DE0F1B" w14:textId="77777777" w:rsidR="00E5593B" w:rsidRPr="00440BFA" w:rsidRDefault="00E5593B" w:rsidP="00E5593B">
      <w:pPr>
        <w:jc w:val="both"/>
        <w:rPr>
          <w:color w:val="000000"/>
          <w:szCs w:val="24"/>
        </w:rPr>
      </w:pPr>
      <w:r w:rsidRPr="00440BFA">
        <w:rPr>
          <w:color w:val="000000"/>
          <w:szCs w:val="24"/>
        </w:rPr>
        <w:t xml:space="preserve">Références : </w:t>
      </w:r>
    </w:p>
    <w:p w14:paraId="1CF68409" w14:textId="362F01E8" w:rsidR="00E5593B" w:rsidRPr="00440BFA" w:rsidRDefault="00E542E4" w:rsidP="00E5593B">
      <w:pPr>
        <w:pStyle w:val="Paragraphedeliste"/>
        <w:numPr>
          <w:ilvl w:val="0"/>
          <w:numId w:val="16"/>
        </w:numPr>
        <w:jc w:val="both"/>
        <w:rPr>
          <w:color w:val="000000"/>
          <w:szCs w:val="24"/>
        </w:rPr>
      </w:pPr>
      <w:r>
        <w:t>A</w:t>
      </w:r>
      <w:r w:rsidR="00E5593B" w:rsidRPr="00440BFA">
        <w:t xml:space="preserve">rticle 4 alinéa </w:t>
      </w:r>
      <w:r w:rsidR="00440BFA" w:rsidRPr="00440BFA">
        <w:t>3</w:t>
      </w:r>
      <w:r w:rsidR="00E5593B" w:rsidRPr="00440BFA">
        <w:t xml:space="preserve"> du décret n°2006-501 du 3 mai 2006</w:t>
      </w:r>
      <w:r w:rsidR="00E5593B" w:rsidRPr="00440BFA">
        <w:rPr>
          <w:color w:val="000000"/>
          <w:szCs w:val="24"/>
        </w:rPr>
        <w:t>,</w:t>
      </w:r>
    </w:p>
    <w:p w14:paraId="3833FF3F" w14:textId="4F7EC546" w:rsidR="00E5593B" w:rsidRDefault="00E5593B" w:rsidP="00E5593B">
      <w:pPr>
        <w:jc w:val="both"/>
        <w:rPr>
          <w:color w:val="000000"/>
          <w:szCs w:val="24"/>
        </w:rPr>
      </w:pPr>
      <w:r w:rsidRPr="00440BFA">
        <w:rPr>
          <w:color w:val="000000"/>
          <w:szCs w:val="24"/>
        </w:rPr>
        <w:t>L’année du recrutement (ou de la reconnaissance postérieure au recrutement), le bénéficiaire de cinquante ans et plus est comptabilisé pour une unité et demi</w:t>
      </w:r>
      <w:r w:rsidR="00956090" w:rsidRPr="00440BFA">
        <w:rPr>
          <w:color w:val="000000"/>
          <w:szCs w:val="24"/>
        </w:rPr>
        <w:t>e</w:t>
      </w:r>
      <w:r w:rsidRPr="00440BFA">
        <w:rPr>
          <w:color w:val="000000"/>
          <w:szCs w:val="24"/>
        </w:rPr>
        <w:t>.</w:t>
      </w:r>
    </w:p>
    <w:p w14:paraId="3DD3F3A5" w14:textId="77777777" w:rsidR="00E5593B" w:rsidRDefault="00E5593B" w:rsidP="00E5593B">
      <w:pPr>
        <w:jc w:val="both"/>
        <w:rPr>
          <w:color w:val="000000"/>
          <w:szCs w:val="24"/>
        </w:rPr>
      </w:pPr>
    </w:p>
    <w:p w14:paraId="0736E007" w14:textId="77777777" w:rsidR="00E5593B" w:rsidRPr="00A94701" w:rsidRDefault="00E5593B" w:rsidP="00E5593B">
      <w:pPr>
        <w:jc w:val="both"/>
        <w:rPr>
          <w:rFonts w:cs="Arial"/>
          <w:b/>
          <w:color w:val="00B0F0"/>
          <w:szCs w:val="24"/>
        </w:rPr>
      </w:pPr>
      <w:r w:rsidRPr="00A94701">
        <w:rPr>
          <w:rFonts w:cs="Arial"/>
          <w:b/>
          <w:color w:val="00B0F0"/>
          <w:szCs w:val="24"/>
        </w:rPr>
        <w:t>Y a-t-il une condition de taux pour déclarer un agent en A.T.I. ?</w:t>
      </w:r>
    </w:p>
    <w:p w14:paraId="631E47CF" w14:textId="22E6AD96" w:rsidR="00E5593B" w:rsidRDefault="00E5593B" w:rsidP="00E5593B">
      <w:pPr>
        <w:jc w:val="both"/>
        <w:rPr>
          <w:rFonts w:cs="Arial"/>
          <w:b/>
          <w:color w:val="00B0F0"/>
          <w:szCs w:val="24"/>
        </w:rPr>
      </w:pPr>
      <w:r w:rsidRPr="00A94701">
        <w:rPr>
          <w:color w:val="000000"/>
          <w:szCs w:val="24"/>
        </w:rPr>
        <w:t>Il n’y a pas de condition de taux. La personne bénéficiant d’une A.T.I. est bénéficiaire de l’obligation d’emploi quel que soit le taux de son A.T.I.</w:t>
      </w:r>
    </w:p>
    <w:p w14:paraId="1BB5ABB0" w14:textId="77777777" w:rsidR="00E5593B" w:rsidRDefault="00E5593B" w:rsidP="00E5593B">
      <w:pPr>
        <w:jc w:val="both"/>
        <w:rPr>
          <w:rFonts w:cs="Arial"/>
          <w:b/>
          <w:color w:val="00B0F0"/>
          <w:szCs w:val="24"/>
        </w:rPr>
      </w:pPr>
    </w:p>
    <w:p w14:paraId="345E4242" w14:textId="6DED3427" w:rsidR="00E5593B" w:rsidRDefault="00B958C2" w:rsidP="00E5593B">
      <w:pPr>
        <w:jc w:val="both"/>
        <w:rPr>
          <w:rFonts w:cs="Arial"/>
          <w:b/>
          <w:color w:val="00B0F0"/>
          <w:szCs w:val="24"/>
        </w:rPr>
      </w:pPr>
      <w:r>
        <w:rPr>
          <w:rFonts w:cs="Arial"/>
          <w:b/>
          <w:color w:val="00B0F0"/>
          <w:szCs w:val="24"/>
        </w:rPr>
        <w:t xml:space="preserve">A quoi correspondent les notions de </w:t>
      </w:r>
      <w:r w:rsidRPr="00B958C2">
        <w:rPr>
          <w:rFonts w:cs="Arial"/>
          <w:b/>
          <w:color w:val="00B0F0"/>
          <w:szCs w:val="24"/>
        </w:rPr>
        <w:t>dépenses réalisées couvrant partiellement l'obligation d'emploi (ouvrant droit à réduction des unités manquantes)</w:t>
      </w:r>
      <w:r>
        <w:rPr>
          <w:rFonts w:cs="Arial"/>
          <w:b/>
          <w:color w:val="00B0F0"/>
          <w:szCs w:val="24"/>
        </w:rPr>
        <w:t xml:space="preserve"> </w:t>
      </w:r>
      <w:r w:rsidR="00E5593B" w:rsidRPr="00337722">
        <w:rPr>
          <w:rFonts w:cs="Arial"/>
          <w:b/>
          <w:color w:val="00B0F0"/>
          <w:szCs w:val="24"/>
        </w:rPr>
        <w:t>?</w:t>
      </w:r>
      <w:r w:rsidR="00E5593B">
        <w:rPr>
          <w:rFonts w:cs="Arial"/>
          <w:b/>
          <w:color w:val="00B0F0"/>
          <w:szCs w:val="24"/>
        </w:rPr>
        <w:t xml:space="preserve"> </w:t>
      </w:r>
    </w:p>
    <w:p w14:paraId="1F20A8FB" w14:textId="77777777" w:rsidR="00E5593B" w:rsidRPr="00B667A7" w:rsidRDefault="00E5593B" w:rsidP="00E5593B">
      <w:pPr>
        <w:spacing w:after="120"/>
        <w:jc w:val="both"/>
        <w:rPr>
          <w:rFonts w:cs="Arial"/>
          <w:b/>
          <w:color w:val="00B0F0"/>
          <w:szCs w:val="24"/>
        </w:rPr>
      </w:pPr>
      <w:r>
        <w:rPr>
          <w:rFonts w:cs="Arial"/>
          <w:i/>
          <w:color w:val="E36C0A" w:themeColor="accent6" w:themeShade="BF"/>
          <w:szCs w:val="24"/>
        </w:rPr>
        <w:t>Indicateur</w:t>
      </w:r>
      <w:r w:rsidRPr="000D5C82">
        <w:rPr>
          <w:rFonts w:cs="Arial"/>
          <w:i/>
          <w:color w:val="E36C0A" w:themeColor="accent6" w:themeShade="BF"/>
          <w:szCs w:val="24"/>
        </w:rPr>
        <w:t xml:space="preserve"> </w:t>
      </w:r>
      <w:r>
        <w:rPr>
          <w:rFonts w:cs="Arial"/>
          <w:i/>
          <w:color w:val="E36C0A" w:themeColor="accent6" w:themeShade="BF"/>
          <w:szCs w:val="24"/>
        </w:rPr>
        <w:t>1.6.2</w:t>
      </w:r>
      <w:r w:rsidRPr="00327459">
        <w:rPr>
          <w:rFonts w:cs="Arial"/>
          <w:i/>
          <w:color w:val="E36C0A" w:themeColor="accent6" w:themeShade="BF"/>
          <w:szCs w:val="24"/>
        </w:rPr>
        <w:t xml:space="preserve"> </w:t>
      </w:r>
      <w:r>
        <w:rPr>
          <w:rFonts w:cs="Arial"/>
          <w:i/>
          <w:color w:val="E36C0A" w:themeColor="accent6" w:themeShade="BF"/>
          <w:szCs w:val="24"/>
        </w:rPr>
        <w:t>– « </w:t>
      </w:r>
      <w:r w:rsidRPr="00327459">
        <w:rPr>
          <w:rFonts w:cs="Arial"/>
          <w:i/>
          <w:color w:val="E36C0A" w:themeColor="accent6" w:themeShade="BF"/>
          <w:szCs w:val="24"/>
        </w:rPr>
        <w:t>Respect de l'obligation d'emploi et dépenses réalisées couvrant partiellement l'obligation d'emploi (ouvrant droit à réduction des unités manquantes) et taux d'emploi</w:t>
      </w:r>
      <w:r>
        <w:rPr>
          <w:rFonts w:cs="Arial"/>
          <w:i/>
          <w:color w:val="E36C0A" w:themeColor="accent6" w:themeShade="BF"/>
          <w:szCs w:val="24"/>
        </w:rPr>
        <w:t> »</w:t>
      </w:r>
    </w:p>
    <w:p w14:paraId="42FF7834" w14:textId="68872A8D" w:rsidR="00E5593B" w:rsidRDefault="00E5593B" w:rsidP="002F5EB4">
      <w:pPr>
        <w:spacing w:after="120"/>
        <w:jc w:val="both"/>
        <w:rPr>
          <w:color w:val="000000"/>
          <w:szCs w:val="24"/>
        </w:rPr>
      </w:pPr>
      <w:r w:rsidRPr="00C72249">
        <w:rPr>
          <w:color w:val="000000"/>
          <w:szCs w:val="24"/>
        </w:rPr>
        <w:t>Référence : Article 6 du décret n°2006-501 du 3 mai 2006 relatif au FIPHFP</w:t>
      </w:r>
    </w:p>
    <w:p w14:paraId="19381E57" w14:textId="203B3A17" w:rsidR="00C255C3" w:rsidRPr="001B0490" w:rsidRDefault="00C255C3" w:rsidP="002F5EB4">
      <w:pPr>
        <w:spacing w:after="120"/>
        <w:jc w:val="both"/>
        <w:rPr>
          <w:szCs w:val="24"/>
        </w:rPr>
      </w:pPr>
      <w:r w:rsidRPr="001B0490">
        <w:rPr>
          <w:szCs w:val="24"/>
        </w:rPr>
        <w:t>Les employeurs publics de plus de 20 agents sont tenus d'employer des bénéficiaires de l’obligation, à temps plein ou à temps partiel, dans la proportion minimale de 6</w:t>
      </w:r>
      <w:r w:rsidR="00940858" w:rsidRPr="001B0490">
        <w:rPr>
          <w:szCs w:val="24"/>
        </w:rPr>
        <w:t xml:space="preserve"> </w:t>
      </w:r>
      <w:r w:rsidRPr="001B0490">
        <w:rPr>
          <w:szCs w:val="24"/>
        </w:rPr>
        <w:t>% de l'effectif global de leurs agents.</w:t>
      </w:r>
    </w:p>
    <w:p w14:paraId="2BAAB7D7" w14:textId="45F66118" w:rsidR="00A109CF" w:rsidRPr="001B0490" w:rsidRDefault="00A109CF" w:rsidP="002F5EB4">
      <w:pPr>
        <w:spacing w:after="120"/>
        <w:jc w:val="both"/>
        <w:rPr>
          <w:szCs w:val="24"/>
        </w:rPr>
      </w:pPr>
      <w:r w:rsidRPr="001B0490">
        <w:rPr>
          <w:szCs w:val="24"/>
        </w:rPr>
        <w:t>Le taux d’emploi correspond au rapport entre le nombre de bénéficiaires de l’obligation d’emploi et l’effectif total pris en compte.</w:t>
      </w:r>
    </w:p>
    <w:p w14:paraId="6695814B" w14:textId="56A62BC5" w:rsidR="00C255C3" w:rsidRPr="001B0490" w:rsidRDefault="00FB0D63" w:rsidP="002F5EB4">
      <w:pPr>
        <w:spacing w:after="120"/>
        <w:jc w:val="both"/>
        <w:rPr>
          <w:szCs w:val="24"/>
        </w:rPr>
      </w:pPr>
      <w:r w:rsidRPr="001B0490">
        <w:rPr>
          <w:szCs w:val="24"/>
        </w:rPr>
        <w:lastRenderedPageBreak/>
        <w:t>Les employeurs publics peuvent s’acquitter de leur obligation d’emploi en versant au fonds pour l’insertion des personnes handicapées dans la fonction publique (FIPHFP</w:t>
      </w:r>
      <w:r w:rsidR="00F51CDD" w:rsidRPr="001B0490">
        <w:rPr>
          <w:szCs w:val="24"/>
        </w:rPr>
        <w:t>)</w:t>
      </w:r>
      <w:r w:rsidRPr="001B0490">
        <w:rPr>
          <w:szCs w:val="24"/>
        </w:rPr>
        <w:t xml:space="preserve"> une contribution annuelle pour chacun des bénéficiaires qu’ils auraient dû employer.</w:t>
      </w:r>
    </w:p>
    <w:p w14:paraId="0EB1DB19" w14:textId="368B6101" w:rsidR="007A4800" w:rsidRPr="001B0490" w:rsidRDefault="007A4800" w:rsidP="002F5EB4">
      <w:pPr>
        <w:spacing w:after="120"/>
        <w:jc w:val="both"/>
        <w:rPr>
          <w:rFonts w:cstheme="minorHAnsi"/>
          <w:strike/>
          <w:szCs w:val="24"/>
        </w:rPr>
      </w:pPr>
      <w:r w:rsidRPr="001B0490">
        <w:rPr>
          <w:rFonts w:cstheme="minorHAnsi"/>
          <w:szCs w:val="24"/>
        </w:rPr>
        <w:t>Peuvent être déduites du montant de la contribution (</w:t>
      </w:r>
      <w:r w:rsidR="00F51CDD" w:rsidRPr="001B0490">
        <w:rPr>
          <w:rFonts w:cstheme="minorHAnsi"/>
          <w:szCs w:val="24"/>
          <w:shd w:val="clear" w:color="auto" w:fill="FFFFFF"/>
        </w:rPr>
        <w:t>article L351-14</w:t>
      </w:r>
      <w:r w:rsidR="00F51CDD" w:rsidRPr="001B0490">
        <w:rPr>
          <w:rFonts w:cstheme="minorHAnsi"/>
          <w:szCs w:val="24"/>
        </w:rPr>
        <w:t xml:space="preserve"> du CGFP</w:t>
      </w:r>
      <w:r w:rsidRPr="001B0490">
        <w:rPr>
          <w:rFonts w:cstheme="minorHAnsi"/>
          <w:szCs w:val="24"/>
        </w:rPr>
        <w:t xml:space="preserve"> et art. 6 </w:t>
      </w:r>
      <w:proofErr w:type="spellStart"/>
      <w:r w:rsidRPr="001B0490">
        <w:rPr>
          <w:rFonts w:cstheme="minorHAnsi"/>
          <w:szCs w:val="24"/>
        </w:rPr>
        <w:t>décr</w:t>
      </w:r>
      <w:proofErr w:type="spellEnd"/>
      <w:r w:rsidRPr="001B0490">
        <w:rPr>
          <w:rFonts w:cstheme="minorHAnsi"/>
          <w:szCs w:val="24"/>
        </w:rPr>
        <w:t xml:space="preserve">. </w:t>
      </w:r>
      <w:proofErr w:type="gramStart"/>
      <w:r w:rsidRPr="001B0490">
        <w:rPr>
          <w:rFonts w:cstheme="minorHAnsi"/>
          <w:szCs w:val="24"/>
        </w:rPr>
        <w:t>n</w:t>
      </w:r>
      <w:proofErr w:type="gramEnd"/>
      <w:r w:rsidRPr="001B0490">
        <w:rPr>
          <w:rFonts w:cstheme="minorHAnsi"/>
          <w:szCs w:val="24"/>
        </w:rPr>
        <w:t>°2006-501 du 3 mai 2006) plusieurs types de dépenses :</w:t>
      </w:r>
    </w:p>
    <w:p w14:paraId="1428A8F5" w14:textId="582559A3" w:rsidR="001E01B4" w:rsidRPr="001B0490" w:rsidRDefault="007A4800" w:rsidP="001E01B4">
      <w:pPr>
        <w:pStyle w:val="Paragraphedeliste"/>
        <w:numPr>
          <w:ilvl w:val="0"/>
          <w:numId w:val="33"/>
        </w:numPr>
        <w:spacing w:after="120"/>
        <w:jc w:val="both"/>
        <w:rPr>
          <w:rFonts w:cstheme="minorHAnsi"/>
          <w:szCs w:val="24"/>
        </w:rPr>
      </w:pPr>
      <w:r w:rsidRPr="001B0490">
        <w:rPr>
          <w:rFonts w:cstheme="minorHAnsi"/>
          <w:b/>
          <w:bCs/>
          <w:szCs w:val="24"/>
        </w:rPr>
        <w:t>les dépenses directement supportées par l’employeur public afférentes à des contrats de fourniture, de sous-traitance ou de prestations de services passés avec des entreprises adaptées</w:t>
      </w:r>
      <w:r w:rsidRPr="001B0490">
        <w:rPr>
          <w:rFonts w:cstheme="minorHAnsi"/>
          <w:szCs w:val="24"/>
        </w:rPr>
        <w:t>, des établissements ou services d'aide par le travail, des travailleurs indépendants handicapés reconnus bénéficiaires de l’obligation d’emploi ou des entreprises de portage salarial lorsque le salarié handicapé est reconnu bénéficiaire de l’obligation d’emploi (art. L. 5212-10-1 du code du travail et art. 6-1 décr</w:t>
      </w:r>
      <w:r w:rsidR="00940858" w:rsidRPr="001B0490">
        <w:rPr>
          <w:rFonts w:cstheme="minorHAnsi"/>
          <w:szCs w:val="24"/>
        </w:rPr>
        <w:t>et</w:t>
      </w:r>
      <w:r w:rsidRPr="001B0490">
        <w:rPr>
          <w:rFonts w:cstheme="minorHAnsi"/>
          <w:szCs w:val="24"/>
        </w:rPr>
        <w:t xml:space="preserve"> n°2006-501 du 3 mai 2006</w:t>
      </w:r>
      <w:r w:rsidR="00F51CDD" w:rsidRPr="001B0490">
        <w:rPr>
          <w:rFonts w:cstheme="minorHAnsi"/>
          <w:szCs w:val="24"/>
        </w:rPr>
        <w:t xml:space="preserve"> modifié par le décret n°2020-420 du 9 avril 2020</w:t>
      </w:r>
      <w:r w:rsidRPr="001B0490">
        <w:rPr>
          <w:rFonts w:cstheme="minorHAnsi"/>
          <w:szCs w:val="24"/>
        </w:rPr>
        <w:t>).</w:t>
      </w:r>
      <w:r w:rsidR="002F5515" w:rsidRPr="001B0490">
        <w:rPr>
          <w:rFonts w:cstheme="minorHAnsi"/>
          <w:szCs w:val="24"/>
        </w:rPr>
        <w:t xml:space="preserve"> </w:t>
      </w:r>
      <w:r w:rsidR="001E01B4" w:rsidRPr="001B0490">
        <w:rPr>
          <w:rFonts w:cstheme="minorHAnsi"/>
          <w:szCs w:val="24"/>
        </w:rPr>
        <w:t>Cette déduction est plafonnée (art. 6-1 décret n°2006-501 du 3 mai 2006) :</w:t>
      </w:r>
    </w:p>
    <w:p w14:paraId="76E68C8D" w14:textId="2F4B3556" w:rsidR="001E01B4" w:rsidRPr="001B0490" w:rsidRDefault="001E01B4" w:rsidP="001E01B4">
      <w:pPr>
        <w:pStyle w:val="Paragraphedeliste"/>
        <w:numPr>
          <w:ilvl w:val="2"/>
          <w:numId w:val="33"/>
        </w:numPr>
        <w:spacing w:after="120"/>
        <w:jc w:val="both"/>
        <w:rPr>
          <w:rFonts w:cstheme="minorHAnsi"/>
          <w:szCs w:val="24"/>
        </w:rPr>
      </w:pPr>
      <w:proofErr w:type="gramStart"/>
      <w:r w:rsidRPr="001B0490">
        <w:rPr>
          <w:rFonts w:cstheme="minorHAnsi"/>
          <w:szCs w:val="24"/>
        </w:rPr>
        <w:t>à</w:t>
      </w:r>
      <w:proofErr w:type="gramEnd"/>
      <w:r w:rsidRPr="001B0490">
        <w:rPr>
          <w:rFonts w:cstheme="minorHAnsi"/>
          <w:szCs w:val="24"/>
        </w:rPr>
        <w:t xml:space="preserve"> 75 % du montant de la contribution si l’employeur satisfait directement à la moitié au moins de son obligation d’emploi ;</w:t>
      </w:r>
    </w:p>
    <w:p w14:paraId="68821ACB" w14:textId="7788AA1A" w:rsidR="00756B6F" w:rsidRPr="001B0490" w:rsidRDefault="001E01B4" w:rsidP="001E01B4">
      <w:pPr>
        <w:pStyle w:val="Paragraphedeliste"/>
        <w:numPr>
          <w:ilvl w:val="2"/>
          <w:numId w:val="33"/>
        </w:numPr>
        <w:spacing w:after="120"/>
        <w:jc w:val="both"/>
        <w:rPr>
          <w:rFonts w:cstheme="minorHAnsi"/>
          <w:szCs w:val="24"/>
        </w:rPr>
      </w:pPr>
      <w:proofErr w:type="gramStart"/>
      <w:r w:rsidRPr="001B0490">
        <w:rPr>
          <w:rFonts w:cstheme="minorHAnsi"/>
          <w:szCs w:val="24"/>
        </w:rPr>
        <w:t>à</w:t>
      </w:r>
      <w:proofErr w:type="gramEnd"/>
      <w:r w:rsidRPr="001B0490">
        <w:rPr>
          <w:rFonts w:cstheme="minorHAnsi"/>
          <w:szCs w:val="24"/>
        </w:rPr>
        <w:t xml:space="preserve"> 50 % du montant de la contribution s’il satisfait directement à moins de la moitié de son obligation d’emploi.</w:t>
      </w:r>
    </w:p>
    <w:p w14:paraId="6A1548C5" w14:textId="77777777" w:rsidR="00756B6F" w:rsidRPr="001B0490" w:rsidRDefault="00756B6F" w:rsidP="007A4800">
      <w:pPr>
        <w:pStyle w:val="Paragraphedeliste"/>
        <w:spacing w:after="120"/>
        <w:jc w:val="both"/>
        <w:rPr>
          <w:rFonts w:cstheme="minorHAnsi"/>
          <w:szCs w:val="24"/>
        </w:rPr>
      </w:pPr>
    </w:p>
    <w:p w14:paraId="1DFF04BA" w14:textId="5FAC9712" w:rsidR="007A4800" w:rsidRPr="001B0490" w:rsidRDefault="007A4800" w:rsidP="00890DFA">
      <w:pPr>
        <w:pStyle w:val="Paragraphedeliste"/>
        <w:numPr>
          <w:ilvl w:val="1"/>
          <w:numId w:val="16"/>
        </w:numPr>
        <w:spacing w:after="120"/>
        <w:jc w:val="both"/>
        <w:rPr>
          <w:rFonts w:cstheme="minorHAnsi"/>
          <w:szCs w:val="24"/>
        </w:rPr>
      </w:pPr>
      <w:proofErr w:type="gramStart"/>
      <w:r w:rsidRPr="001B0490">
        <w:rPr>
          <w:rFonts w:cstheme="minorHAnsi"/>
          <w:b/>
          <w:bCs/>
          <w:szCs w:val="24"/>
        </w:rPr>
        <w:t>les</w:t>
      </w:r>
      <w:proofErr w:type="gramEnd"/>
      <w:r w:rsidRPr="001B0490">
        <w:rPr>
          <w:rFonts w:cstheme="minorHAnsi"/>
          <w:b/>
          <w:bCs/>
          <w:szCs w:val="24"/>
        </w:rPr>
        <w:t xml:space="preserve"> dépenses directement supportées par l’employeur public, destinées à favoriser l’accueil, l’insertion ou le maintien dans l’emploi des travailleurs handicapés</w:t>
      </w:r>
      <w:r w:rsidRPr="001B0490">
        <w:rPr>
          <w:rFonts w:cstheme="minorHAnsi"/>
          <w:szCs w:val="24"/>
        </w:rPr>
        <w:t>, qui ne lui incombent pas en application d’une disposition législative ou réglementaire</w:t>
      </w:r>
      <w:r w:rsidR="001E01B4" w:rsidRPr="001B0490">
        <w:rPr>
          <w:rFonts w:cstheme="minorHAnsi"/>
          <w:szCs w:val="24"/>
        </w:rPr>
        <w:t>. L'employeur public peut déduire ces dépenses du montant de sa contribution annuelle dans la limite de 10 % du montant de la contribution annuelle</w:t>
      </w:r>
      <w:r w:rsidRPr="001B0490">
        <w:rPr>
          <w:rFonts w:cstheme="minorHAnsi"/>
          <w:szCs w:val="24"/>
        </w:rPr>
        <w:t>. Il s’agit notamment de dépenses relatives (art. 6-2 décr</w:t>
      </w:r>
      <w:r w:rsidR="00940858" w:rsidRPr="001B0490">
        <w:rPr>
          <w:rFonts w:cstheme="minorHAnsi"/>
          <w:szCs w:val="24"/>
        </w:rPr>
        <w:t>et</w:t>
      </w:r>
      <w:r w:rsidRPr="001B0490">
        <w:rPr>
          <w:rFonts w:cstheme="minorHAnsi"/>
          <w:szCs w:val="24"/>
        </w:rPr>
        <w:t xml:space="preserve"> n°2006-501 du 3 mai 2006</w:t>
      </w:r>
      <w:r w:rsidR="00F51CDD" w:rsidRPr="001B0490">
        <w:rPr>
          <w:rFonts w:cstheme="minorHAnsi"/>
          <w:szCs w:val="24"/>
        </w:rPr>
        <w:t xml:space="preserve"> modifié par le décret n°2020-420 du 9 avril 2020</w:t>
      </w:r>
      <w:r w:rsidRPr="001B0490">
        <w:rPr>
          <w:rFonts w:cstheme="minorHAnsi"/>
          <w:szCs w:val="24"/>
        </w:rPr>
        <w:t>) :</w:t>
      </w:r>
    </w:p>
    <w:p w14:paraId="5B651714" w14:textId="19D9E393" w:rsidR="007A4800" w:rsidRPr="001B0490" w:rsidRDefault="007A4800" w:rsidP="007A4800">
      <w:pPr>
        <w:pStyle w:val="Paragraphedeliste"/>
        <w:numPr>
          <w:ilvl w:val="0"/>
          <w:numId w:val="34"/>
        </w:numPr>
        <w:spacing w:after="120"/>
        <w:jc w:val="both"/>
        <w:rPr>
          <w:rFonts w:cstheme="minorHAnsi"/>
          <w:szCs w:val="24"/>
        </w:rPr>
      </w:pPr>
      <w:proofErr w:type="gramStart"/>
      <w:r w:rsidRPr="001B0490">
        <w:rPr>
          <w:rFonts w:cstheme="minorHAnsi"/>
          <w:szCs w:val="24"/>
        </w:rPr>
        <w:t>à</w:t>
      </w:r>
      <w:proofErr w:type="gramEnd"/>
      <w:r w:rsidRPr="001B0490">
        <w:rPr>
          <w:rFonts w:cstheme="minorHAnsi"/>
          <w:szCs w:val="24"/>
        </w:rPr>
        <w:t xml:space="preserve"> la réalisation de diagnostics et de travaux afin de permettre l’accessibilité des locaux professionnels</w:t>
      </w:r>
      <w:r w:rsidR="00756B6F" w:rsidRPr="001B0490">
        <w:rPr>
          <w:rFonts w:cstheme="minorHAnsi"/>
          <w:szCs w:val="24"/>
        </w:rPr>
        <w:t> ;</w:t>
      </w:r>
    </w:p>
    <w:p w14:paraId="5B2B75E5" w14:textId="267C5A9B" w:rsidR="007A4800" w:rsidRPr="001B0490" w:rsidRDefault="007A4800" w:rsidP="007A4800">
      <w:pPr>
        <w:pStyle w:val="Paragraphedeliste"/>
        <w:numPr>
          <w:ilvl w:val="0"/>
          <w:numId w:val="34"/>
        </w:numPr>
        <w:spacing w:after="120"/>
        <w:jc w:val="both"/>
        <w:rPr>
          <w:rFonts w:cstheme="minorHAnsi"/>
          <w:szCs w:val="24"/>
        </w:rPr>
      </w:pPr>
      <w:proofErr w:type="gramStart"/>
      <w:r w:rsidRPr="001B0490">
        <w:rPr>
          <w:rFonts w:cstheme="minorHAnsi"/>
          <w:szCs w:val="24"/>
        </w:rPr>
        <w:t>au</w:t>
      </w:r>
      <w:proofErr w:type="gramEnd"/>
      <w:r w:rsidRPr="001B0490">
        <w:rPr>
          <w:rFonts w:cstheme="minorHAnsi"/>
          <w:szCs w:val="24"/>
        </w:rPr>
        <w:t xml:space="preserve"> maintien dans l'emploi et à la reconversion professionnelle par la mise en œuvre de moyens humains, techniques ou organisationnels compensatoires à la situation de handicap (à l'exclusion des dépenses déjà prises en charge ou faisant l'objet d'aides financières par d'autres organismes)</w:t>
      </w:r>
      <w:r w:rsidR="00756B6F" w:rsidRPr="001B0490">
        <w:rPr>
          <w:rFonts w:cstheme="minorHAnsi"/>
          <w:szCs w:val="24"/>
        </w:rPr>
        <w:t> ;</w:t>
      </w:r>
    </w:p>
    <w:p w14:paraId="7598EC75" w14:textId="7D9C5896" w:rsidR="007A4800" w:rsidRPr="001B0490" w:rsidRDefault="007A4800" w:rsidP="00756B6F">
      <w:pPr>
        <w:pStyle w:val="Paragraphedeliste"/>
        <w:numPr>
          <w:ilvl w:val="0"/>
          <w:numId w:val="34"/>
        </w:numPr>
        <w:spacing w:after="120"/>
        <w:jc w:val="both"/>
        <w:rPr>
          <w:rFonts w:cstheme="minorHAnsi"/>
          <w:szCs w:val="24"/>
        </w:rPr>
      </w:pPr>
      <w:proofErr w:type="gramStart"/>
      <w:r w:rsidRPr="001B0490">
        <w:rPr>
          <w:rFonts w:cstheme="minorHAnsi"/>
          <w:szCs w:val="24"/>
        </w:rPr>
        <w:t>aux</w:t>
      </w:r>
      <w:proofErr w:type="gramEnd"/>
      <w:r w:rsidRPr="001B0490">
        <w:rPr>
          <w:rFonts w:cstheme="minorHAnsi"/>
          <w:szCs w:val="24"/>
        </w:rPr>
        <w:t xml:space="preserve"> prestations d'accompagnement des bénéficiaires de l’obligation d’emploi, aux actions de sensibilisation et de formation des agents publics réalisées afin de favoriser la prise de poste et le maintien en emploi de ces bénéficiaires</w:t>
      </w:r>
      <w:r w:rsidR="00756B6F" w:rsidRPr="001B0490">
        <w:rPr>
          <w:rFonts w:cstheme="minorHAnsi"/>
          <w:szCs w:val="24"/>
        </w:rPr>
        <w:t> ;</w:t>
      </w:r>
    </w:p>
    <w:p w14:paraId="4AFF1979" w14:textId="16A85B8F" w:rsidR="007A4800" w:rsidRPr="001B0490" w:rsidRDefault="007A4800" w:rsidP="00756B6F">
      <w:pPr>
        <w:pStyle w:val="Paragraphedeliste"/>
        <w:numPr>
          <w:ilvl w:val="0"/>
          <w:numId w:val="34"/>
        </w:numPr>
        <w:spacing w:after="120"/>
        <w:jc w:val="both"/>
        <w:rPr>
          <w:rFonts w:cstheme="minorHAnsi"/>
          <w:szCs w:val="24"/>
        </w:rPr>
      </w:pPr>
      <w:proofErr w:type="gramStart"/>
      <w:r w:rsidRPr="001B0490">
        <w:rPr>
          <w:rFonts w:cstheme="minorHAnsi"/>
          <w:szCs w:val="24"/>
        </w:rPr>
        <w:t>aux</w:t>
      </w:r>
      <w:proofErr w:type="gramEnd"/>
      <w:r w:rsidRPr="001B0490">
        <w:rPr>
          <w:rFonts w:cstheme="minorHAnsi"/>
          <w:szCs w:val="24"/>
        </w:rPr>
        <w:t xml:space="preserve"> aménagements des postes de travail réalisés pour maintenir dans leur emploi les agents reconnus inaptes à l'exercice de leurs fonctions et qui n'appartiennent pas à l'une des catégories de bénéficiaires de l’obligation d’emploi, sous certaines conditions.</w:t>
      </w:r>
    </w:p>
    <w:p w14:paraId="07FA2B3F" w14:textId="77777777" w:rsidR="00E5593B" w:rsidRPr="001B0490" w:rsidRDefault="00E5593B" w:rsidP="00E5593B">
      <w:pPr>
        <w:jc w:val="both"/>
        <w:rPr>
          <w:rFonts w:cstheme="minorHAnsi"/>
          <w:color w:val="000000"/>
          <w:szCs w:val="24"/>
        </w:rPr>
      </w:pPr>
      <w:r w:rsidRPr="001B0490">
        <w:rPr>
          <w:rFonts w:cstheme="minorHAnsi"/>
          <w:color w:val="000000"/>
          <w:szCs w:val="24"/>
        </w:rPr>
        <w:t xml:space="preserve">Vous trouverez davantage de précisions concernant les dépenses à renseigner à cet indicateur sur le site du FIPHFP. Vous pouvez notamment vous référer au guide « aide générale à la saisie de la déclaration » téléchargeable au bas de la page suivante : </w:t>
      </w:r>
    </w:p>
    <w:p w14:paraId="2359BB92" w14:textId="2D6D0D6C" w:rsidR="00E5593B" w:rsidRDefault="00000000" w:rsidP="00E5593B">
      <w:pPr>
        <w:jc w:val="both"/>
      </w:pPr>
      <w:hyperlink r:id="rId14" w:history="1">
        <w:r w:rsidR="00F51CDD" w:rsidRPr="00254E56">
          <w:rPr>
            <w:rStyle w:val="Lienhypertexte"/>
            <w:szCs w:val="24"/>
          </w:rPr>
          <w:t>http://www.fiphfp.fr/Obligations-des-employeurs/Declaration-et-contribution/Declarer</w:t>
        </w:r>
      </w:hyperlink>
    </w:p>
    <w:p w14:paraId="447DA5E8" w14:textId="77777777" w:rsidR="00E5593B" w:rsidRPr="00DD6AE6" w:rsidRDefault="00E5593B" w:rsidP="00E5593B">
      <w:pPr>
        <w:jc w:val="both"/>
      </w:pPr>
    </w:p>
    <w:p w14:paraId="23529544" w14:textId="60FB0D86" w:rsidR="00E5593B" w:rsidRDefault="00E5593B" w:rsidP="00E5593B">
      <w:pPr>
        <w:overflowPunct/>
        <w:autoSpaceDE/>
        <w:autoSpaceDN/>
        <w:adjustRightInd/>
        <w:spacing w:after="160" w:line="259" w:lineRule="auto"/>
        <w:textAlignment w:val="auto"/>
        <w:rPr>
          <w:rFonts w:ascii="Calibri" w:eastAsia="Calibri" w:hAnsi="Calibri"/>
          <w:szCs w:val="24"/>
          <w:lang w:eastAsia="en-US"/>
        </w:rPr>
      </w:pPr>
    </w:p>
    <w:p w14:paraId="1A42C44B" w14:textId="77777777" w:rsidR="00427128" w:rsidRPr="009F3A48" w:rsidRDefault="00427128" w:rsidP="00E5593B">
      <w:pPr>
        <w:overflowPunct/>
        <w:autoSpaceDE/>
        <w:autoSpaceDN/>
        <w:adjustRightInd/>
        <w:spacing w:after="160" w:line="259" w:lineRule="auto"/>
        <w:textAlignment w:val="auto"/>
        <w:rPr>
          <w:rFonts w:ascii="Calibri" w:eastAsia="Calibri" w:hAnsi="Calibri"/>
          <w:szCs w:val="24"/>
          <w:lang w:eastAsia="en-US"/>
        </w:rPr>
      </w:pPr>
    </w:p>
    <w:p w14:paraId="7E4E321C" w14:textId="77777777" w:rsidR="009F3A48" w:rsidRPr="009F3A48" w:rsidRDefault="009F3A48" w:rsidP="009F3A48">
      <w:pPr>
        <w:overflowPunct/>
        <w:autoSpaceDE/>
        <w:autoSpaceDN/>
        <w:adjustRightInd/>
        <w:jc w:val="both"/>
        <w:textAlignment w:val="auto"/>
        <w:rPr>
          <w:rFonts w:ascii="Calibri" w:hAnsi="Calibri"/>
          <w:b/>
          <w:color w:val="00B0F0"/>
          <w:szCs w:val="24"/>
        </w:rPr>
      </w:pPr>
      <w:r w:rsidRPr="009F3A48">
        <w:rPr>
          <w:rFonts w:ascii="Calibri" w:eastAsia="Calibri" w:hAnsi="Calibri"/>
          <w:b/>
          <w:bCs/>
          <w:color w:val="FF0000"/>
          <w:szCs w:val="24"/>
        </w:rPr>
        <w:lastRenderedPageBreak/>
        <w:t>Nouveauté RSU 2021 :</w:t>
      </w:r>
      <w:r w:rsidRPr="009F3A48">
        <w:rPr>
          <w:rFonts w:ascii="Calibri" w:eastAsia="Calibri" w:hAnsi="Calibri"/>
          <w:szCs w:val="24"/>
        </w:rPr>
        <w:t xml:space="preserve"> </w:t>
      </w:r>
      <w:r w:rsidRPr="009F3A48">
        <w:rPr>
          <w:rFonts w:ascii="Calibri" w:hAnsi="Calibri"/>
          <w:b/>
          <w:color w:val="00B0F0"/>
          <w:szCs w:val="24"/>
        </w:rPr>
        <w:t>Comment comptabiliser les agents sur emploi permanent autorisés à exercer une activité accessoire ?</w:t>
      </w:r>
    </w:p>
    <w:p w14:paraId="18E559E7" w14:textId="77777777" w:rsidR="009F3A48" w:rsidRPr="009F3A48" w:rsidRDefault="009F3A48" w:rsidP="009F3A48">
      <w:pPr>
        <w:overflowPunct/>
        <w:autoSpaceDE/>
        <w:autoSpaceDN/>
        <w:adjustRightInd/>
        <w:jc w:val="both"/>
        <w:textAlignment w:val="auto"/>
        <w:rPr>
          <w:rFonts w:ascii="Calibri" w:eastAsia="Calibri" w:hAnsi="Calibri"/>
          <w:i/>
          <w:iCs/>
          <w:color w:val="E36C0A"/>
          <w:szCs w:val="24"/>
        </w:rPr>
      </w:pPr>
      <w:r w:rsidRPr="009F3A48">
        <w:rPr>
          <w:rFonts w:ascii="Calibri" w:eastAsia="Calibri" w:hAnsi="Calibri"/>
          <w:i/>
          <w:iCs/>
          <w:color w:val="E36C0A"/>
          <w:szCs w:val="24"/>
        </w:rPr>
        <w:t>IND 1.8.1 </w:t>
      </w:r>
    </w:p>
    <w:p w14:paraId="31B6C4F7" w14:textId="0E713955" w:rsidR="009F3A48" w:rsidRPr="009F3A48"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9F3A48">
        <w:rPr>
          <w:rFonts w:ascii="Calibri" w:eastAsia="Calibri" w:hAnsi="Calibri"/>
          <w:szCs w:val="24"/>
          <w:lang w:eastAsia="en-US"/>
        </w:rPr>
        <w:t>Par principe, les fonctionnaires et les agents contractuels consacrent l'intégralité de leur activité professionnelle à leurs tâches ; ils ne peuvent exercer à titre professionnel une activité privée lucrative de quelque nature que ce soit (article</w:t>
      </w:r>
      <w:r w:rsidR="002D3554">
        <w:rPr>
          <w:rFonts w:ascii="Calibri" w:eastAsia="Calibri" w:hAnsi="Calibri"/>
          <w:szCs w:val="24"/>
          <w:lang w:eastAsia="en-US"/>
        </w:rPr>
        <w:t xml:space="preserve">s </w:t>
      </w:r>
      <w:r w:rsidR="002D3554">
        <w:rPr>
          <w:noProof/>
        </w:rPr>
        <w:t>L123-1</w:t>
      </w:r>
      <w:r w:rsidRPr="009F3A48">
        <w:rPr>
          <w:rFonts w:ascii="Calibri" w:eastAsia="Calibri" w:hAnsi="Calibri"/>
          <w:szCs w:val="24"/>
          <w:lang w:eastAsia="en-US"/>
        </w:rPr>
        <w:t xml:space="preserve"> </w:t>
      </w:r>
      <w:r w:rsidR="002D3554">
        <w:rPr>
          <w:rFonts w:ascii="Calibri" w:eastAsia="Calibri" w:hAnsi="Calibri"/>
          <w:szCs w:val="24"/>
          <w:lang w:eastAsia="en-US"/>
        </w:rPr>
        <w:t xml:space="preserve">et </w:t>
      </w:r>
      <w:r w:rsidRPr="009F3A48">
        <w:rPr>
          <w:rFonts w:ascii="Calibri" w:eastAsia="Calibri" w:hAnsi="Calibri"/>
          <w:szCs w:val="24"/>
          <w:lang w:eastAsia="en-US"/>
        </w:rPr>
        <w:t>L121-3</w:t>
      </w:r>
      <w:r w:rsidR="002D3554">
        <w:rPr>
          <w:rFonts w:ascii="Calibri" w:eastAsia="Calibri" w:hAnsi="Calibri"/>
          <w:szCs w:val="24"/>
          <w:lang w:eastAsia="en-US"/>
        </w:rPr>
        <w:t xml:space="preserve"> d</w:t>
      </w:r>
      <w:r w:rsidRPr="009F3A48">
        <w:rPr>
          <w:rFonts w:ascii="Calibri" w:eastAsia="Calibri" w:hAnsi="Calibri"/>
          <w:szCs w:val="24"/>
          <w:lang w:eastAsia="en-US"/>
        </w:rPr>
        <w:t>u CGFP).</w:t>
      </w:r>
    </w:p>
    <w:p w14:paraId="4BAF0D99" w14:textId="77777777" w:rsidR="009F3A48" w:rsidRPr="009F3A48"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9F3A48">
        <w:rPr>
          <w:rFonts w:ascii="Calibri" w:eastAsia="Calibri" w:hAnsi="Calibri"/>
          <w:szCs w:val="24"/>
          <w:lang w:eastAsia="en-US"/>
        </w:rPr>
        <w:t>Toutefois, sous certaines conditions, les agents publics peuvent exercer une activité accessoire privée ou publique.</w:t>
      </w:r>
    </w:p>
    <w:p w14:paraId="15A98691" w14:textId="77777777" w:rsidR="009F3A48" w:rsidRPr="009F3A48"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9F3A48">
        <w:rPr>
          <w:rFonts w:ascii="Calibri" w:eastAsia="Calibri" w:hAnsi="Calibri"/>
          <w:szCs w:val="24"/>
          <w:lang w:eastAsia="en-US"/>
        </w:rPr>
        <w:t xml:space="preserve">Le cumul est subordonné à la délivrance d'une autorisation par l'autorité dont relève l'intéressé. Le nombre de fonctionnaires et de contractuels sur emploi permanent autorisés à exercer une activité accessoire est à renseigner à l’indicateur </w:t>
      </w:r>
      <w:r w:rsidRPr="009F3A48">
        <w:rPr>
          <w:rFonts w:ascii="Calibri" w:eastAsia="Calibri" w:hAnsi="Calibri"/>
          <w:i/>
          <w:iCs/>
          <w:color w:val="E36C0A"/>
          <w:szCs w:val="24"/>
        </w:rPr>
        <w:t>1.8.1</w:t>
      </w:r>
      <w:r w:rsidRPr="009F3A48">
        <w:rPr>
          <w:rFonts w:ascii="Calibri" w:eastAsia="Calibri" w:hAnsi="Calibri"/>
          <w:szCs w:val="24"/>
        </w:rPr>
        <w:t>.</w:t>
      </w:r>
      <w:r w:rsidRPr="009F3A48">
        <w:rPr>
          <w:rFonts w:ascii="Calibri" w:eastAsia="Calibri" w:hAnsi="Calibri"/>
          <w:i/>
          <w:iCs/>
          <w:color w:val="E36C0A"/>
          <w:szCs w:val="24"/>
        </w:rPr>
        <w:t> </w:t>
      </w:r>
    </w:p>
    <w:p w14:paraId="239C364E" w14:textId="77777777" w:rsidR="009F3A48" w:rsidRPr="009F3A48" w:rsidRDefault="009F3A48" w:rsidP="009F3A48">
      <w:pPr>
        <w:overflowPunct/>
        <w:autoSpaceDE/>
        <w:autoSpaceDN/>
        <w:adjustRightInd/>
        <w:jc w:val="both"/>
        <w:textAlignment w:val="auto"/>
        <w:rPr>
          <w:rFonts w:ascii="Calibri" w:hAnsi="Calibri"/>
          <w:b/>
          <w:bCs/>
          <w:color w:val="00B050"/>
          <w:sz w:val="32"/>
          <w:szCs w:val="28"/>
          <w:u w:val="single"/>
        </w:rPr>
      </w:pPr>
    </w:p>
    <w:p w14:paraId="3ADC08B5" w14:textId="77777777" w:rsidR="009F3A48" w:rsidRPr="009F3A48" w:rsidRDefault="009F3A48" w:rsidP="009F3A48">
      <w:pPr>
        <w:overflowPunct/>
        <w:autoSpaceDE/>
        <w:autoSpaceDN/>
        <w:adjustRightInd/>
        <w:jc w:val="both"/>
        <w:textAlignment w:val="auto"/>
        <w:rPr>
          <w:rFonts w:ascii="Calibri" w:hAnsi="Calibri"/>
          <w:b/>
          <w:bCs/>
          <w:color w:val="00B050"/>
          <w:sz w:val="32"/>
          <w:szCs w:val="28"/>
          <w:u w:val="single"/>
        </w:rPr>
      </w:pPr>
    </w:p>
    <w:p w14:paraId="2646CE57" w14:textId="77777777" w:rsidR="009F3A48" w:rsidRPr="009F3A48" w:rsidRDefault="009F3A48" w:rsidP="009F3A48">
      <w:pPr>
        <w:overflowPunct/>
        <w:autoSpaceDE/>
        <w:autoSpaceDN/>
        <w:adjustRightInd/>
        <w:jc w:val="both"/>
        <w:textAlignment w:val="auto"/>
        <w:rPr>
          <w:rFonts w:ascii="Calibri" w:hAnsi="Calibri"/>
          <w:b/>
          <w:bCs/>
          <w:color w:val="00B050"/>
          <w:sz w:val="32"/>
          <w:szCs w:val="28"/>
          <w:u w:val="single"/>
        </w:rPr>
      </w:pPr>
    </w:p>
    <w:p w14:paraId="05669722" w14:textId="77777777" w:rsidR="009F3A48" w:rsidRPr="009F3A48" w:rsidRDefault="009F3A48" w:rsidP="009F3A48">
      <w:pPr>
        <w:overflowPunct/>
        <w:autoSpaceDE/>
        <w:autoSpaceDN/>
        <w:adjustRightInd/>
        <w:jc w:val="both"/>
        <w:textAlignment w:val="auto"/>
        <w:rPr>
          <w:rFonts w:ascii="Calibri" w:hAnsi="Calibri"/>
          <w:b/>
          <w:bCs/>
          <w:color w:val="00B050"/>
          <w:sz w:val="32"/>
          <w:szCs w:val="28"/>
          <w:u w:val="single"/>
        </w:rPr>
      </w:pPr>
    </w:p>
    <w:p w14:paraId="4BC09751" w14:textId="24545AB8" w:rsidR="009F3A48" w:rsidRDefault="009F3A48" w:rsidP="009F3A48">
      <w:pPr>
        <w:overflowPunct/>
        <w:autoSpaceDE/>
        <w:autoSpaceDN/>
        <w:adjustRightInd/>
        <w:jc w:val="both"/>
        <w:textAlignment w:val="auto"/>
        <w:rPr>
          <w:rFonts w:ascii="Calibri" w:hAnsi="Calibri"/>
          <w:b/>
          <w:bCs/>
          <w:color w:val="00B050"/>
          <w:sz w:val="32"/>
          <w:szCs w:val="28"/>
          <w:u w:val="single"/>
        </w:rPr>
      </w:pPr>
    </w:p>
    <w:p w14:paraId="532901FC" w14:textId="25048F5C" w:rsidR="00646E4A" w:rsidRDefault="00646E4A" w:rsidP="009F3A48">
      <w:pPr>
        <w:overflowPunct/>
        <w:autoSpaceDE/>
        <w:autoSpaceDN/>
        <w:adjustRightInd/>
        <w:jc w:val="both"/>
        <w:textAlignment w:val="auto"/>
        <w:rPr>
          <w:rFonts w:ascii="Calibri" w:hAnsi="Calibri"/>
          <w:b/>
          <w:bCs/>
          <w:color w:val="00B050"/>
          <w:sz w:val="32"/>
          <w:szCs w:val="28"/>
          <w:u w:val="single"/>
        </w:rPr>
      </w:pPr>
    </w:p>
    <w:p w14:paraId="3AFC8E3F" w14:textId="2B8C22E1" w:rsidR="00646E4A" w:rsidRDefault="00646E4A" w:rsidP="009F3A48">
      <w:pPr>
        <w:overflowPunct/>
        <w:autoSpaceDE/>
        <w:autoSpaceDN/>
        <w:adjustRightInd/>
        <w:jc w:val="both"/>
        <w:textAlignment w:val="auto"/>
        <w:rPr>
          <w:rFonts w:ascii="Calibri" w:hAnsi="Calibri"/>
          <w:b/>
          <w:bCs/>
          <w:color w:val="00B050"/>
          <w:sz w:val="32"/>
          <w:szCs w:val="28"/>
          <w:u w:val="single"/>
        </w:rPr>
      </w:pPr>
    </w:p>
    <w:p w14:paraId="3A22E2F6" w14:textId="6769CD4F" w:rsidR="008C48AC" w:rsidRDefault="008C48AC" w:rsidP="009F3A48">
      <w:pPr>
        <w:overflowPunct/>
        <w:autoSpaceDE/>
        <w:autoSpaceDN/>
        <w:adjustRightInd/>
        <w:jc w:val="both"/>
        <w:textAlignment w:val="auto"/>
        <w:rPr>
          <w:rFonts w:ascii="Calibri" w:hAnsi="Calibri"/>
          <w:b/>
          <w:bCs/>
          <w:color w:val="00B050"/>
          <w:sz w:val="32"/>
          <w:szCs w:val="28"/>
          <w:u w:val="single"/>
        </w:rPr>
      </w:pPr>
    </w:p>
    <w:p w14:paraId="60F636A6" w14:textId="609B6E2C" w:rsidR="008C48AC" w:rsidRDefault="008C48AC" w:rsidP="009F3A48">
      <w:pPr>
        <w:overflowPunct/>
        <w:autoSpaceDE/>
        <w:autoSpaceDN/>
        <w:adjustRightInd/>
        <w:jc w:val="both"/>
        <w:textAlignment w:val="auto"/>
        <w:rPr>
          <w:rFonts w:ascii="Calibri" w:hAnsi="Calibri"/>
          <w:b/>
          <w:bCs/>
          <w:color w:val="00B050"/>
          <w:sz w:val="32"/>
          <w:szCs w:val="28"/>
          <w:u w:val="single"/>
        </w:rPr>
      </w:pPr>
    </w:p>
    <w:p w14:paraId="45DE6F17" w14:textId="0158AEC9" w:rsidR="008C48AC" w:rsidRDefault="008C48AC" w:rsidP="009F3A48">
      <w:pPr>
        <w:overflowPunct/>
        <w:autoSpaceDE/>
        <w:autoSpaceDN/>
        <w:adjustRightInd/>
        <w:jc w:val="both"/>
        <w:textAlignment w:val="auto"/>
        <w:rPr>
          <w:rFonts w:ascii="Calibri" w:hAnsi="Calibri"/>
          <w:b/>
          <w:bCs/>
          <w:color w:val="00B050"/>
          <w:sz w:val="32"/>
          <w:szCs w:val="28"/>
          <w:u w:val="single"/>
        </w:rPr>
      </w:pPr>
    </w:p>
    <w:p w14:paraId="4235F7F0" w14:textId="2B757E64" w:rsidR="008C48AC" w:rsidRDefault="008C48AC" w:rsidP="009F3A48">
      <w:pPr>
        <w:overflowPunct/>
        <w:autoSpaceDE/>
        <w:autoSpaceDN/>
        <w:adjustRightInd/>
        <w:jc w:val="both"/>
        <w:textAlignment w:val="auto"/>
        <w:rPr>
          <w:rFonts w:ascii="Calibri" w:hAnsi="Calibri"/>
          <w:b/>
          <w:bCs/>
          <w:color w:val="00B050"/>
          <w:sz w:val="32"/>
          <w:szCs w:val="28"/>
          <w:u w:val="single"/>
        </w:rPr>
      </w:pPr>
    </w:p>
    <w:p w14:paraId="0C8A1F45" w14:textId="77777777" w:rsidR="00F54234" w:rsidRDefault="00F54234">
      <w:pPr>
        <w:overflowPunct/>
        <w:autoSpaceDE/>
        <w:autoSpaceDN/>
        <w:adjustRightInd/>
        <w:textAlignment w:val="auto"/>
        <w:rPr>
          <w:rFonts w:eastAsiaTheme="majorEastAsia" w:cstheme="majorBidi"/>
          <w:b/>
          <w:bCs/>
          <w:color w:val="00B050"/>
          <w:sz w:val="32"/>
          <w:szCs w:val="28"/>
          <w:u w:val="single"/>
        </w:rPr>
      </w:pPr>
      <w:bookmarkStart w:id="5" w:name="_Toc104276125"/>
      <w:r>
        <w:br w:type="page"/>
      </w:r>
    </w:p>
    <w:p w14:paraId="3679DF75" w14:textId="0153F27C" w:rsidR="009F3A48" w:rsidRPr="009F3A48" w:rsidRDefault="009F3A48" w:rsidP="00646E4A">
      <w:pPr>
        <w:pStyle w:val="Titre1"/>
      </w:pPr>
      <w:r w:rsidRPr="009F3A48">
        <w:lastRenderedPageBreak/>
        <w:t xml:space="preserve">Recrutement et </w:t>
      </w:r>
      <w:r w:rsidR="00646E4A">
        <w:t>p</w:t>
      </w:r>
      <w:r w:rsidRPr="009F3A48">
        <w:t>arcours professionnel</w:t>
      </w:r>
      <w:bookmarkEnd w:id="5"/>
    </w:p>
    <w:p w14:paraId="7C7E6DF5" w14:textId="77777777" w:rsidR="009F3A48" w:rsidRPr="009F3A48" w:rsidRDefault="009F3A48" w:rsidP="009F3A48">
      <w:pPr>
        <w:jc w:val="both"/>
        <w:rPr>
          <w:rFonts w:ascii="Calibri" w:hAnsi="Calibri"/>
          <w:color w:val="000000"/>
          <w:szCs w:val="24"/>
        </w:rPr>
      </w:pPr>
    </w:p>
    <w:p w14:paraId="194D43C5"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Concernant les arrivées et les départs, doit-on prendre en compte tous les agents présents dans l’année ou seulement ceux présents au 31 décembre 2021 ?</w:t>
      </w:r>
    </w:p>
    <w:p w14:paraId="442DA878" w14:textId="77777777" w:rsidR="009F3A48" w:rsidRPr="009F3A48" w:rsidRDefault="009F3A48" w:rsidP="009F3A48">
      <w:pPr>
        <w:jc w:val="both"/>
        <w:rPr>
          <w:rFonts w:ascii="Calibri" w:hAnsi="Calibri" w:cs="Arial"/>
          <w:i/>
          <w:color w:val="E36C0A"/>
          <w:szCs w:val="24"/>
        </w:rPr>
      </w:pPr>
      <w:r w:rsidRPr="009F3A48">
        <w:rPr>
          <w:rFonts w:ascii="Calibri" w:hAnsi="Calibri" w:cs="Arial"/>
          <w:i/>
          <w:color w:val="E36C0A"/>
          <w:szCs w:val="24"/>
        </w:rPr>
        <w:t>Indicateurs 1.9.4 à 1.9.9</w:t>
      </w:r>
    </w:p>
    <w:p w14:paraId="26A4DD82"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Il faut prendre en compte tous les agents présents dans l’année.</w:t>
      </w:r>
    </w:p>
    <w:p w14:paraId="1DD29CDF" w14:textId="77777777" w:rsidR="009F3A48" w:rsidRPr="009F3A48" w:rsidRDefault="009F3A48" w:rsidP="009F3A48">
      <w:pPr>
        <w:jc w:val="both"/>
        <w:rPr>
          <w:rFonts w:ascii="Calibri" w:hAnsi="Calibri"/>
          <w:color w:val="000000"/>
          <w:szCs w:val="24"/>
        </w:rPr>
      </w:pPr>
    </w:p>
    <w:p w14:paraId="33D8C5EB"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Comment saisir dans le rapport social unique un agent parti en cours d'année ?</w:t>
      </w:r>
    </w:p>
    <w:p w14:paraId="1E2D96F9" w14:textId="77777777" w:rsidR="009F3A48" w:rsidRPr="009F3A48" w:rsidRDefault="009F3A48" w:rsidP="009F3A48">
      <w:pPr>
        <w:jc w:val="both"/>
        <w:rPr>
          <w:rFonts w:ascii="Calibri" w:hAnsi="Calibri"/>
          <w:szCs w:val="24"/>
        </w:rPr>
      </w:pPr>
      <w:r w:rsidRPr="009F3A48">
        <w:rPr>
          <w:rFonts w:ascii="Calibri" w:hAnsi="Calibri"/>
          <w:szCs w:val="24"/>
        </w:rPr>
        <w:t>Le cas échéant, il doit apparaître dans le tableau des situations particulières, ainsi que dans les tableaux relatifs :</w:t>
      </w:r>
    </w:p>
    <w:p w14:paraId="560596B0" w14:textId="77777777" w:rsidR="009F3A48" w:rsidRPr="009F3A48" w:rsidRDefault="009F3A48" w:rsidP="009F3A48">
      <w:pPr>
        <w:numPr>
          <w:ilvl w:val="0"/>
          <w:numId w:val="2"/>
        </w:numPr>
        <w:overflowPunct/>
        <w:autoSpaceDE/>
        <w:autoSpaceDN/>
        <w:adjustRightInd/>
        <w:spacing w:after="160" w:line="259" w:lineRule="auto"/>
        <w:contextualSpacing/>
        <w:jc w:val="both"/>
        <w:textAlignment w:val="auto"/>
        <w:rPr>
          <w:rFonts w:ascii="Calibri" w:hAnsi="Calibri"/>
          <w:szCs w:val="24"/>
        </w:rPr>
      </w:pPr>
      <w:proofErr w:type="gramStart"/>
      <w:r w:rsidRPr="009F3A48">
        <w:rPr>
          <w:rFonts w:ascii="Calibri" w:hAnsi="Calibri"/>
          <w:szCs w:val="24"/>
        </w:rPr>
        <w:t>aux</w:t>
      </w:r>
      <w:proofErr w:type="gramEnd"/>
      <w:r w:rsidRPr="009F3A48">
        <w:rPr>
          <w:rFonts w:ascii="Calibri" w:hAnsi="Calibri"/>
          <w:szCs w:val="24"/>
        </w:rPr>
        <w:t xml:space="preserve"> mouvements / titularisations / promotions / avancements (parties « Recrutement » et « Parcours professionnels »),</w:t>
      </w:r>
    </w:p>
    <w:p w14:paraId="2F72BBAD" w14:textId="77777777" w:rsidR="009F3A48" w:rsidRPr="009F3A48" w:rsidRDefault="009F3A48" w:rsidP="009F3A48">
      <w:pPr>
        <w:numPr>
          <w:ilvl w:val="0"/>
          <w:numId w:val="2"/>
        </w:numPr>
        <w:overflowPunct/>
        <w:autoSpaceDE/>
        <w:autoSpaceDN/>
        <w:adjustRightInd/>
        <w:spacing w:after="160" w:line="259" w:lineRule="auto"/>
        <w:contextualSpacing/>
        <w:jc w:val="both"/>
        <w:textAlignment w:val="auto"/>
        <w:rPr>
          <w:rFonts w:ascii="Calibri" w:hAnsi="Calibri"/>
          <w:szCs w:val="24"/>
        </w:rPr>
      </w:pPr>
      <w:proofErr w:type="gramStart"/>
      <w:r w:rsidRPr="009F3A48">
        <w:rPr>
          <w:rFonts w:ascii="Calibri" w:hAnsi="Calibri"/>
          <w:szCs w:val="24"/>
        </w:rPr>
        <w:t>à</w:t>
      </w:r>
      <w:proofErr w:type="gramEnd"/>
      <w:r w:rsidRPr="009F3A48">
        <w:rPr>
          <w:rFonts w:ascii="Calibri" w:hAnsi="Calibri"/>
          <w:szCs w:val="24"/>
        </w:rPr>
        <w:t xml:space="preserve"> l’entretien avant/après congés de 6 mois ou plus / au temps partiel (partie « Organisation du travail »),</w:t>
      </w:r>
    </w:p>
    <w:p w14:paraId="5F96983D" w14:textId="77777777" w:rsidR="009F3A48" w:rsidRPr="009F3A48" w:rsidRDefault="009F3A48" w:rsidP="009F3A48">
      <w:pPr>
        <w:numPr>
          <w:ilvl w:val="0"/>
          <w:numId w:val="2"/>
        </w:numPr>
        <w:overflowPunct/>
        <w:autoSpaceDE/>
        <w:autoSpaceDN/>
        <w:adjustRightInd/>
        <w:spacing w:after="160" w:line="259" w:lineRule="auto"/>
        <w:contextualSpacing/>
        <w:jc w:val="both"/>
        <w:textAlignment w:val="auto"/>
        <w:rPr>
          <w:rFonts w:ascii="Calibri" w:hAnsi="Calibri"/>
          <w:szCs w:val="24"/>
        </w:rPr>
      </w:pPr>
      <w:proofErr w:type="gramStart"/>
      <w:r w:rsidRPr="009F3A48">
        <w:rPr>
          <w:rFonts w:ascii="Calibri" w:hAnsi="Calibri"/>
          <w:szCs w:val="24"/>
        </w:rPr>
        <w:t>à</w:t>
      </w:r>
      <w:proofErr w:type="gramEnd"/>
      <w:r w:rsidRPr="009F3A48">
        <w:rPr>
          <w:rFonts w:ascii="Calibri" w:hAnsi="Calibri"/>
          <w:szCs w:val="24"/>
        </w:rPr>
        <w:t xml:space="preserve"> la rémunération / aux heures supplémentaires et/ou complémentaires (partie « Rémunération »),</w:t>
      </w:r>
    </w:p>
    <w:p w14:paraId="2F5B4570" w14:textId="77777777" w:rsidR="009F3A48" w:rsidRPr="009F3A48" w:rsidRDefault="009F3A48" w:rsidP="009F3A48">
      <w:pPr>
        <w:numPr>
          <w:ilvl w:val="0"/>
          <w:numId w:val="2"/>
        </w:numPr>
        <w:overflowPunct/>
        <w:autoSpaceDE/>
        <w:autoSpaceDN/>
        <w:adjustRightInd/>
        <w:spacing w:after="160" w:line="259" w:lineRule="auto"/>
        <w:contextualSpacing/>
        <w:jc w:val="both"/>
        <w:textAlignment w:val="auto"/>
        <w:rPr>
          <w:rFonts w:ascii="Calibri" w:hAnsi="Calibri"/>
          <w:szCs w:val="24"/>
        </w:rPr>
      </w:pPr>
      <w:proofErr w:type="gramStart"/>
      <w:r w:rsidRPr="009F3A48">
        <w:rPr>
          <w:rFonts w:ascii="Calibri" w:hAnsi="Calibri"/>
          <w:szCs w:val="24"/>
        </w:rPr>
        <w:t>aux</w:t>
      </w:r>
      <w:proofErr w:type="gramEnd"/>
      <w:r w:rsidRPr="009F3A48">
        <w:rPr>
          <w:rFonts w:ascii="Calibri" w:hAnsi="Calibri"/>
          <w:szCs w:val="24"/>
        </w:rPr>
        <w:t xml:space="preserve"> visites médicales / accidents de service / maladies professionnelles / inaptitudes / actes de violence physique (partie « Santé et sécurité au travail »),</w:t>
      </w:r>
    </w:p>
    <w:p w14:paraId="5B839508" w14:textId="77777777" w:rsidR="009F3A48" w:rsidRPr="009F3A48" w:rsidRDefault="009F3A48" w:rsidP="009F3A48">
      <w:pPr>
        <w:numPr>
          <w:ilvl w:val="0"/>
          <w:numId w:val="2"/>
        </w:numPr>
        <w:overflowPunct/>
        <w:autoSpaceDE/>
        <w:autoSpaceDN/>
        <w:adjustRightInd/>
        <w:spacing w:after="160" w:line="259" w:lineRule="auto"/>
        <w:contextualSpacing/>
        <w:jc w:val="both"/>
        <w:textAlignment w:val="auto"/>
        <w:rPr>
          <w:rFonts w:ascii="Calibri" w:hAnsi="Calibri"/>
          <w:szCs w:val="24"/>
        </w:rPr>
      </w:pPr>
      <w:proofErr w:type="gramStart"/>
      <w:r w:rsidRPr="009F3A48">
        <w:rPr>
          <w:rFonts w:ascii="Calibri" w:hAnsi="Calibri"/>
          <w:szCs w:val="24"/>
        </w:rPr>
        <w:t>au</w:t>
      </w:r>
      <w:proofErr w:type="gramEnd"/>
      <w:r w:rsidRPr="009F3A48">
        <w:rPr>
          <w:rFonts w:ascii="Calibri" w:hAnsi="Calibri"/>
          <w:szCs w:val="24"/>
        </w:rPr>
        <w:t xml:space="preserve"> droit de grève / aux sanctions / à la protection sociale complémentaire (dans la partie « Dialogue social).</w:t>
      </w:r>
    </w:p>
    <w:p w14:paraId="61F92859" w14:textId="77777777" w:rsidR="009F3A48" w:rsidRPr="009F3A48" w:rsidRDefault="009F3A48" w:rsidP="009F3A48">
      <w:pPr>
        <w:ind w:left="720"/>
        <w:jc w:val="both"/>
        <w:rPr>
          <w:rFonts w:ascii="Calibri" w:hAnsi="Calibri"/>
          <w:szCs w:val="24"/>
        </w:rPr>
      </w:pPr>
    </w:p>
    <w:p w14:paraId="2E8DD35F"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Comment comptabiliser les fonctionnaires rémunérés au 31/12 et qui prennent leur retraite le 1</w:t>
      </w:r>
      <w:r w:rsidRPr="009F3A48">
        <w:rPr>
          <w:rFonts w:ascii="Calibri" w:hAnsi="Calibri"/>
          <w:b/>
          <w:color w:val="00B0F0"/>
          <w:szCs w:val="24"/>
          <w:vertAlign w:val="superscript"/>
        </w:rPr>
        <w:t>er</w:t>
      </w:r>
      <w:r w:rsidRPr="009F3A48">
        <w:rPr>
          <w:rFonts w:ascii="Calibri" w:hAnsi="Calibri"/>
          <w:b/>
          <w:color w:val="00B0F0"/>
          <w:szCs w:val="24"/>
        </w:rPr>
        <w:t xml:space="preserve"> janvier ?</w:t>
      </w:r>
    </w:p>
    <w:p w14:paraId="11F2B2B7" w14:textId="77777777" w:rsidR="009F3A48" w:rsidRPr="009F3A48" w:rsidRDefault="009F3A48" w:rsidP="009F3A48">
      <w:pPr>
        <w:jc w:val="both"/>
        <w:rPr>
          <w:rFonts w:ascii="Calibri" w:hAnsi="Calibri"/>
          <w:i/>
          <w:color w:val="E36C0A"/>
          <w:szCs w:val="24"/>
        </w:rPr>
      </w:pPr>
      <w:r w:rsidRPr="009F3A48">
        <w:rPr>
          <w:rFonts w:ascii="Calibri" w:hAnsi="Calibri"/>
          <w:i/>
          <w:color w:val="E36C0A"/>
          <w:szCs w:val="24"/>
        </w:rPr>
        <w:t>Indicateur 1.9.4.0.1</w:t>
      </w:r>
    </w:p>
    <w:p w14:paraId="26BEC9BC" w14:textId="77777777" w:rsidR="009F3A48" w:rsidRPr="009F3A48" w:rsidRDefault="009F3A48" w:rsidP="009F3A48">
      <w:pPr>
        <w:jc w:val="both"/>
        <w:rPr>
          <w:rFonts w:ascii="Calibri" w:hAnsi="Calibri" w:cs="Calibri"/>
          <w:szCs w:val="24"/>
        </w:rPr>
      </w:pPr>
      <w:r w:rsidRPr="009F3A48">
        <w:rPr>
          <w:rFonts w:ascii="Calibri" w:hAnsi="Calibri" w:cs="Calibri"/>
          <w:szCs w:val="24"/>
        </w:rPr>
        <w:t xml:space="preserve">Les fonctionnaires qui sont rémunérés jusqu’au 31/12 et prennent leur retraite le 01/01 ne doivent pas être comptabilisés dans </w:t>
      </w:r>
      <w:r w:rsidRPr="009F3A48">
        <w:rPr>
          <w:rFonts w:ascii="Calibri" w:hAnsi="Calibri"/>
          <w:i/>
          <w:color w:val="E36C0A"/>
          <w:szCs w:val="24"/>
        </w:rPr>
        <w:t>l’indicateur</w:t>
      </w:r>
      <w:r w:rsidRPr="009F3A48">
        <w:rPr>
          <w:rFonts w:ascii="Calibri" w:hAnsi="Calibri" w:cs="Calibri"/>
          <w:szCs w:val="24"/>
        </w:rPr>
        <w:t xml:space="preserve"> </w:t>
      </w:r>
      <w:r w:rsidRPr="009F3A48">
        <w:rPr>
          <w:rFonts w:ascii="Calibri" w:hAnsi="Calibri"/>
          <w:i/>
          <w:color w:val="E36C0A"/>
          <w:szCs w:val="24"/>
        </w:rPr>
        <w:t>1.9.4.0.1</w:t>
      </w:r>
      <w:r w:rsidRPr="009F3A48">
        <w:rPr>
          <w:rFonts w:ascii="Calibri" w:hAnsi="Calibri" w:cs="Calibri"/>
          <w:szCs w:val="24"/>
        </w:rPr>
        <w:t>.</w:t>
      </w:r>
    </w:p>
    <w:p w14:paraId="004DEE11" w14:textId="77777777" w:rsidR="009F3A48" w:rsidRPr="009F3A48" w:rsidRDefault="009F3A48" w:rsidP="009F3A48">
      <w:pPr>
        <w:jc w:val="both"/>
        <w:rPr>
          <w:rFonts w:ascii="Calibri" w:hAnsi="Calibri"/>
          <w:szCs w:val="24"/>
        </w:rPr>
      </w:pPr>
    </w:p>
    <w:p w14:paraId="48B2C191" w14:textId="77777777" w:rsidR="009F3A48" w:rsidRPr="009F3A48" w:rsidRDefault="009F3A48" w:rsidP="009F3A48">
      <w:pPr>
        <w:jc w:val="both"/>
        <w:rPr>
          <w:rFonts w:ascii="Calibri" w:hAnsi="Calibri"/>
          <w:b/>
          <w:color w:val="000000"/>
          <w:szCs w:val="24"/>
        </w:rPr>
      </w:pPr>
      <w:r w:rsidRPr="009F3A48">
        <w:rPr>
          <w:rFonts w:ascii="Calibri" w:hAnsi="Calibri"/>
          <w:b/>
          <w:color w:val="00B0F0"/>
          <w:szCs w:val="24"/>
        </w:rPr>
        <w:t>Certains contractuels de ma collectivité ont effectué successivement plusieurs contrats.</w:t>
      </w:r>
      <w:r w:rsidRPr="009F3A48">
        <w:rPr>
          <w:rFonts w:ascii="Calibri" w:hAnsi="Calibri"/>
          <w:b/>
          <w:color w:val="000000"/>
          <w:szCs w:val="24"/>
        </w:rPr>
        <w:t xml:space="preserve"> </w:t>
      </w:r>
      <w:r w:rsidRPr="009F3A48">
        <w:rPr>
          <w:rFonts w:ascii="Calibri" w:hAnsi="Calibri"/>
          <w:b/>
          <w:color w:val="00B0F0"/>
          <w:szCs w:val="24"/>
        </w:rPr>
        <w:t>Comment puis-je les renseigner ?</w:t>
      </w:r>
    </w:p>
    <w:p w14:paraId="0CB8A4C8"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Ils ne doivent être comptés qu’une seule fois pour leur dernier mouvement (soit une arrivée ou un départ), le point de référence étant la situation de l’agent au 31/12/2021.</w:t>
      </w:r>
    </w:p>
    <w:p w14:paraId="22964B00" w14:textId="77777777" w:rsidR="009F3A48" w:rsidRPr="009F3A48" w:rsidRDefault="009F3A48" w:rsidP="009F3A48">
      <w:pPr>
        <w:jc w:val="both"/>
        <w:rPr>
          <w:rFonts w:ascii="Calibri" w:hAnsi="Calibri"/>
          <w:color w:val="000000"/>
          <w:szCs w:val="24"/>
        </w:rPr>
      </w:pPr>
    </w:p>
    <w:p w14:paraId="7AC7F745"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Les contractuels avec une fin de contrat mi-décembre 2021 et un nouveau contrat début janvier 2022 sont absents entre ces deux dates et ne sont pas comptabilisés dans les effectifs au 31/12/2021. Il faut donc les compter dans les départs.</w:t>
      </w:r>
    </w:p>
    <w:p w14:paraId="6465FBB7" w14:textId="77777777" w:rsidR="009F3A48" w:rsidRPr="009F3A48" w:rsidRDefault="009F3A48" w:rsidP="009F3A48">
      <w:pPr>
        <w:jc w:val="both"/>
        <w:rPr>
          <w:rFonts w:ascii="Calibri" w:hAnsi="Calibri"/>
          <w:color w:val="000000"/>
          <w:szCs w:val="24"/>
        </w:rPr>
      </w:pPr>
    </w:p>
    <w:p w14:paraId="377679D1"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Doit-on renseigner les renouvellements de détachement dans la ligne "détachement dans une autre structure" ?</w:t>
      </w:r>
    </w:p>
    <w:p w14:paraId="572C14B3" w14:textId="77777777" w:rsidR="009F3A48" w:rsidRPr="009F3A48" w:rsidRDefault="009F3A48" w:rsidP="009F3A48">
      <w:pPr>
        <w:jc w:val="both"/>
        <w:rPr>
          <w:rFonts w:ascii="Calibri" w:hAnsi="Calibri" w:cs="Arial"/>
          <w:i/>
          <w:color w:val="E36C0A"/>
          <w:szCs w:val="24"/>
        </w:rPr>
      </w:pPr>
      <w:r w:rsidRPr="009F3A48">
        <w:rPr>
          <w:rFonts w:ascii="Calibri" w:hAnsi="Calibri" w:cs="Arial"/>
          <w:i/>
          <w:color w:val="E36C0A"/>
          <w:szCs w:val="24"/>
        </w:rPr>
        <w:t xml:space="preserve">Indicateur </w:t>
      </w:r>
      <w:bookmarkStart w:id="6" w:name="_Hlk101358592"/>
      <w:r w:rsidRPr="009F3A48">
        <w:rPr>
          <w:rFonts w:ascii="Calibri" w:hAnsi="Calibri" w:cs="Arial"/>
          <w:i/>
          <w:color w:val="E36C0A"/>
          <w:szCs w:val="24"/>
        </w:rPr>
        <w:t xml:space="preserve">1.9.4.0.1 </w:t>
      </w:r>
      <w:bookmarkEnd w:id="6"/>
      <w:r w:rsidRPr="009F3A48">
        <w:rPr>
          <w:rFonts w:ascii="Calibri" w:hAnsi="Calibri" w:cs="Arial"/>
          <w:i/>
          <w:color w:val="E36C0A"/>
          <w:szCs w:val="24"/>
        </w:rPr>
        <w:t>– « Départs dans l’année 2021 »</w:t>
      </w:r>
    </w:p>
    <w:p w14:paraId="512305B2"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Oui.</w:t>
      </w:r>
    </w:p>
    <w:p w14:paraId="479E625E" w14:textId="77777777" w:rsidR="009F3A48" w:rsidRPr="009F3A48" w:rsidRDefault="009F3A48" w:rsidP="009F3A48">
      <w:pPr>
        <w:tabs>
          <w:tab w:val="left" w:pos="2459"/>
        </w:tabs>
        <w:jc w:val="both"/>
        <w:rPr>
          <w:rFonts w:ascii="Calibri" w:hAnsi="Calibri"/>
          <w:color w:val="000000"/>
          <w:szCs w:val="24"/>
        </w:rPr>
      </w:pPr>
    </w:p>
    <w:p w14:paraId="22308EC9" w14:textId="77777777" w:rsidR="009F3A48" w:rsidRPr="009F3A48" w:rsidRDefault="009F3A48" w:rsidP="009F3A48">
      <w:pPr>
        <w:rPr>
          <w:rFonts w:ascii="Calibri" w:hAnsi="Calibri" w:cs="Arial"/>
          <w:b/>
          <w:color w:val="00B0F0"/>
          <w:szCs w:val="24"/>
        </w:rPr>
      </w:pPr>
      <w:r w:rsidRPr="009F3A48">
        <w:rPr>
          <w:rFonts w:ascii="Calibri" w:hAnsi="Calibri" w:cs="Arial"/>
          <w:b/>
          <w:color w:val="00B0F0"/>
          <w:szCs w:val="24"/>
        </w:rPr>
        <w:t>Doit-on comptabiliser les agents déjà en disponibilité d’office pour maladie ou convenance personnelle lorsque leur départ en retraite intervient dans l’année ?</w:t>
      </w:r>
    </w:p>
    <w:p w14:paraId="3BE2784E" w14:textId="77777777" w:rsidR="009F3A48" w:rsidRPr="009F3A48" w:rsidRDefault="009F3A48" w:rsidP="009F3A48">
      <w:pPr>
        <w:jc w:val="both"/>
        <w:rPr>
          <w:rFonts w:ascii="Calibri" w:hAnsi="Calibri" w:cs="Arial"/>
          <w:i/>
          <w:color w:val="E36C0A"/>
          <w:szCs w:val="24"/>
        </w:rPr>
      </w:pPr>
      <w:r w:rsidRPr="009F3A48">
        <w:rPr>
          <w:rFonts w:ascii="Calibri" w:hAnsi="Calibri" w:cs="Arial"/>
          <w:i/>
          <w:color w:val="E36C0A"/>
          <w:szCs w:val="24"/>
        </w:rPr>
        <w:t>Indicateur 1.9.4.0.1 – « Départs dans l’année 2021 »</w:t>
      </w:r>
    </w:p>
    <w:p w14:paraId="7A2E2684" w14:textId="77777777" w:rsidR="009F3A48" w:rsidRPr="009F3A48" w:rsidRDefault="009F3A48" w:rsidP="009F3A48">
      <w:pPr>
        <w:jc w:val="both"/>
        <w:rPr>
          <w:rFonts w:ascii="Calibri" w:hAnsi="Calibri" w:cs="Arial"/>
          <w:color w:val="000000"/>
          <w:szCs w:val="24"/>
        </w:rPr>
      </w:pPr>
      <w:r w:rsidRPr="009F3A48">
        <w:rPr>
          <w:rFonts w:ascii="Calibri" w:hAnsi="Calibri" w:cs="Arial"/>
          <w:color w:val="000000"/>
          <w:szCs w:val="24"/>
        </w:rPr>
        <w:t>Les agents en disponibilité ne font plus partie des effectifs pour le rapport social unique : ils ne sont plus présents dans la collectivité et n’y sont plus rémunérés.</w:t>
      </w:r>
    </w:p>
    <w:p w14:paraId="5788A284" w14:textId="77777777" w:rsidR="009F3A48" w:rsidRPr="009F3A48" w:rsidRDefault="009F3A48" w:rsidP="009F3A48">
      <w:pPr>
        <w:jc w:val="both"/>
        <w:rPr>
          <w:rFonts w:ascii="Calibri" w:hAnsi="Calibri" w:cs="Arial"/>
          <w:color w:val="000000"/>
          <w:szCs w:val="24"/>
        </w:rPr>
      </w:pPr>
      <w:r w:rsidRPr="009F3A48">
        <w:rPr>
          <w:rFonts w:ascii="Calibri" w:hAnsi="Calibri" w:cs="Arial"/>
          <w:color w:val="000000"/>
          <w:szCs w:val="24"/>
        </w:rPr>
        <w:t>Si la disponibilité a démarré en cours d’année 2021 et que le départ à la retraite est intervenu en 2021, il faut compter l’agent dans les départs à la retraite.</w:t>
      </w:r>
    </w:p>
    <w:p w14:paraId="2FCF98DE" w14:textId="77777777" w:rsidR="009F3A48" w:rsidRPr="009F3A48" w:rsidRDefault="009F3A48" w:rsidP="009F3A48">
      <w:pPr>
        <w:jc w:val="both"/>
        <w:rPr>
          <w:rFonts w:ascii="Calibri" w:hAnsi="Calibri" w:cs="Arial"/>
          <w:color w:val="000000"/>
          <w:szCs w:val="24"/>
        </w:rPr>
      </w:pPr>
      <w:r w:rsidRPr="009F3A48">
        <w:rPr>
          <w:rFonts w:ascii="Calibri" w:hAnsi="Calibri" w:cs="Arial"/>
          <w:color w:val="000000"/>
          <w:szCs w:val="24"/>
        </w:rPr>
        <w:lastRenderedPageBreak/>
        <w:t>Si l’agent était en disponibilité avant 2021, il n’a pas à être recensé dans le rapport social unique.</w:t>
      </w:r>
    </w:p>
    <w:p w14:paraId="4A283A3D" w14:textId="77777777" w:rsidR="009F3A48" w:rsidRPr="009F3A48" w:rsidRDefault="009F3A48" w:rsidP="009F3A48">
      <w:pPr>
        <w:tabs>
          <w:tab w:val="left" w:pos="2255"/>
        </w:tabs>
        <w:jc w:val="both"/>
        <w:rPr>
          <w:rFonts w:ascii="Calibri" w:hAnsi="Calibri" w:cs="Arial"/>
          <w:b/>
          <w:color w:val="000000"/>
          <w:szCs w:val="24"/>
        </w:rPr>
      </w:pPr>
    </w:p>
    <w:p w14:paraId="044F1BD8" w14:textId="77777777" w:rsidR="009F3A48" w:rsidRPr="009F3A48" w:rsidRDefault="009F3A48" w:rsidP="0018112A">
      <w:pPr>
        <w:contextualSpacing/>
        <w:jc w:val="both"/>
        <w:rPr>
          <w:rFonts w:ascii="Calibri" w:hAnsi="Calibri" w:cs="Arial"/>
          <w:b/>
          <w:color w:val="00B0F0"/>
          <w:szCs w:val="24"/>
        </w:rPr>
      </w:pPr>
      <w:r w:rsidRPr="009F3A48">
        <w:rPr>
          <w:rFonts w:ascii="Calibri" w:hAnsi="Calibri" w:cs="Arial"/>
          <w:b/>
          <w:color w:val="00B0F0"/>
          <w:szCs w:val="24"/>
        </w:rPr>
        <w:t>Comment comptabiliser un agent placé en congé parental en 2021 et réintégré au cours de la même année (par exemple : un congé d’une durée de 6 mois) ?</w:t>
      </w:r>
    </w:p>
    <w:p w14:paraId="69EBCD3C" w14:textId="77777777" w:rsidR="009F3A48" w:rsidRPr="009F3A48" w:rsidRDefault="009F3A48" w:rsidP="0018112A">
      <w:pPr>
        <w:contextualSpacing/>
        <w:jc w:val="both"/>
        <w:rPr>
          <w:rFonts w:ascii="Calibri" w:hAnsi="Calibri" w:cs="Arial"/>
          <w:color w:val="000000"/>
          <w:szCs w:val="24"/>
        </w:rPr>
      </w:pPr>
      <w:r w:rsidRPr="009F3A48">
        <w:rPr>
          <w:rFonts w:ascii="Calibri" w:hAnsi="Calibri" w:cs="Arial"/>
          <w:color w:val="000000"/>
          <w:szCs w:val="24"/>
        </w:rPr>
        <w:t>S’il s’agit d’un fonctionnaire :</w:t>
      </w:r>
    </w:p>
    <w:p w14:paraId="162D779A" w14:textId="5584A662" w:rsidR="009F3A48" w:rsidRPr="009F3A48" w:rsidRDefault="009F3A48" w:rsidP="009F3A48">
      <w:pPr>
        <w:numPr>
          <w:ilvl w:val="0"/>
          <w:numId w:val="11"/>
        </w:numPr>
        <w:overflowPunct/>
        <w:autoSpaceDE/>
        <w:autoSpaceDN/>
        <w:adjustRightInd/>
        <w:spacing w:after="160" w:line="259" w:lineRule="auto"/>
        <w:contextualSpacing/>
        <w:jc w:val="both"/>
        <w:textAlignment w:val="auto"/>
        <w:rPr>
          <w:rFonts w:ascii="Calibri" w:hAnsi="Calibri" w:cs="Arial"/>
          <w:color w:val="000000"/>
          <w:szCs w:val="24"/>
        </w:rPr>
      </w:pPr>
      <w:r w:rsidRPr="009F3A48">
        <w:rPr>
          <w:rFonts w:ascii="Calibri" w:hAnsi="Calibri" w:cs="Arial"/>
          <w:color w:val="000000"/>
          <w:szCs w:val="24"/>
        </w:rPr>
        <w:t>Le congé parental étant la position du fonctionnaire qui est placé hors de son administration ou service d'origine pour élever son enfant (</w:t>
      </w:r>
      <w:r w:rsidRPr="00C95BF5">
        <w:rPr>
          <w:rFonts w:ascii="Calibri" w:hAnsi="Calibri" w:cs="Arial"/>
          <w:color w:val="000000"/>
          <w:szCs w:val="24"/>
        </w:rPr>
        <w:t>L515-1 du CGFP</w:t>
      </w:r>
      <w:r w:rsidRPr="009F3A48">
        <w:rPr>
          <w:rFonts w:ascii="Calibri" w:hAnsi="Calibri" w:cs="Arial"/>
          <w:color w:val="000000"/>
          <w:szCs w:val="24"/>
        </w:rPr>
        <w:t>), l’agent n’est donc pas en position d’activité durant le congé parental.</w:t>
      </w:r>
    </w:p>
    <w:p w14:paraId="69520BA3" w14:textId="77777777" w:rsidR="009F3A48" w:rsidRPr="009F3A48" w:rsidRDefault="009F3A48" w:rsidP="009F3A48">
      <w:pPr>
        <w:numPr>
          <w:ilvl w:val="0"/>
          <w:numId w:val="11"/>
        </w:numPr>
        <w:overflowPunct/>
        <w:autoSpaceDE/>
        <w:autoSpaceDN/>
        <w:adjustRightInd/>
        <w:spacing w:after="160" w:line="259" w:lineRule="auto"/>
        <w:contextualSpacing/>
        <w:jc w:val="both"/>
        <w:textAlignment w:val="auto"/>
        <w:rPr>
          <w:rFonts w:ascii="Calibri" w:hAnsi="Calibri" w:cs="Arial"/>
          <w:color w:val="000000"/>
          <w:szCs w:val="24"/>
        </w:rPr>
      </w:pPr>
      <w:r w:rsidRPr="009F3A48">
        <w:rPr>
          <w:rFonts w:ascii="Calibri" w:hAnsi="Calibri" w:cs="Arial"/>
          <w:color w:val="000000"/>
          <w:szCs w:val="24"/>
        </w:rPr>
        <w:t>Il faut tout d’abord l’indiquer en départ (</w:t>
      </w:r>
      <w:r w:rsidRPr="009F3A48">
        <w:rPr>
          <w:rFonts w:ascii="Calibri" w:hAnsi="Calibri" w:cs="Arial"/>
          <w:i/>
          <w:color w:val="E36C0A"/>
          <w:szCs w:val="24"/>
        </w:rPr>
        <w:t>indicateur</w:t>
      </w:r>
      <w:r w:rsidRPr="009F3A48">
        <w:rPr>
          <w:rFonts w:ascii="Calibri" w:hAnsi="Calibri" w:cs="Arial"/>
          <w:color w:val="000000"/>
          <w:szCs w:val="24"/>
        </w:rPr>
        <w:t xml:space="preserve"> </w:t>
      </w:r>
      <w:r w:rsidRPr="009F3A48">
        <w:rPr>
          <w:rFonts w:ascii="Calibri" w:hAnsi="Calibri" w:cs="Arial"/>
          <w:i/>
          <w:color w:val="E36C0A"/>
          <w:szCs w:val="24"/>
        </w:rPr>
        <w:t xml:space="preserve">1.9.4.0.1 - Départs dans l'année 2021 </w:t>
      </w:r>
      <w:r w:rsidRPr="009F3A48">
        <w:rPr>
          <w:rFonts w:ascii="Calibri" w:hAnsi="Calibri" w:cs="Arial"/>
          <w:color w:val="000000"/>
          <w:szCs w:val="24"/>
        </w:rPr>
        <w:t>- tableau « Fonctionnaire ») à la ligne « Mise en disponibilité, congé parental ».</w:t>
      </w:r>
    </w:p>
    <w:p w14:paraId="0B954B01" w14:textId="77777777" w:rsidR="009F3A48" w:rsidRPr="009F3A48" w:rsidRDefault="009F3A48" w:rsidP="009F3A48">
      <w:pPr>
        <w:numPr>
          <w:ilvl w:val="0"/>
          <w:numId w:val="11"/>
        </w:numPr>
        <w:overflowPunct/>
        <w:autoSpaceDE/>
        <w:autoSpaceDN/>
        <w:adjustRightInd/>
        <w:spacing w:after="120" w:line="259" w:lineRule="auto"/>
        <w:contextualSpacing/>
        <w:jc w:val="both"/>
        <w:textAlignment w:val="auto"/>
        <w:rPr>
          <w:rFonts w:ascii="Calibri" w:hAnsi="Calibri" w:cs="Arial"/>
          <w:color w:val="000000"/>
          <w:szCs w:val="24"/>
        </w:rPr>
      </w:pPr>
      <w:r w:rsidRPr="009F3A48">
        <w:rPr>
          <w:rFonts w:ascii="Calibri" w:hAnsi="Calibri" w:cs="Arial"/>
          <w:color w:val="000000"/>
          <w:szCs w:val="24"/>
        </w:rPr>
        <w:t>Puis, il faut l’indiquer en arrivée (</w:t>
      </w:r>
      <w:r w:rsidRPr="009F3A48">
        <w:rPr>
          <w:rFonts w:ascii="Calibri" w:hAnsi="Calibri" w:cs="Arial"/>
          <w:i/>
          <w:color w:val="E36C0A"/>
          <w:szCs w:val="24"/>
        </w:rPr>
        <w:t>indicateur 1.9.2 - Arrivées de fonctionnaires dans l'année 2021</w:t>
      </w:r>
      <w:r w:rsidRPr="009F3A48">
        <w:rPr>
          <w:rFonts w:ascii="Calibri" w:hAnsi="Calibri" w:cs="Arial"/>
          <w:color w:val="000000"/>
          <w:szCs w:val="24"/>
        </w:rPr>
        <w:t>) à la colonne « réintégration ».</w:t>
      </w:r>
    </w:p>
    <w:p w14:paraId="796B1038" w14:textId="77777777" w:rsidR="009F3A48" w:rsidRPr="009F3A48" w:rsidRDefault="009F3A48" w:rsidP="009F3A48">
      <w:pPr>
        <w:jc w:val="both"/>
        <w:rPr>
          <w:rFonts w:ascii="Calibri" w:hAnsi="Calibri" w:cs="Arial"/>
          <w:color w:val="000000"/>
          <w:szCs w:val="24"/>
        </w:rPr>
      </w:pPr>
      <w:r w:rsidRPr="009F3A48">
        <w:rPr>
          <w:rFonts w:ascii="Calibri" w:hAnsi="Calibri" w:cs="Arial"/>
          <w:color w:val="000000"/>
          <w:szCs w:val="24"/>
        </w:rPr>
        <w:t>S’il s’agit d’un contractuel sur emploi permanent (cf. article 14 et 33 du Décret n°88-145 du 15 février 1988) :</w:t>
      </w:r>
    </w:p>
    <w:p w14:paraId="1B5A30A7" w14:textId="77777777" w:rsidR="009F3A48" w:rsidRPr="009F3A48" w:rsidRDefault="009F3A48" w:rsidP="009F3A48">
      <w:pPr>
        <w:numPr>
          <w:ilvl w:val="0"/>
          <w:numId w:val="10"/>
        </w:numPr>
        <w:overflowPunct/>
        <w:autoSpaceDE/>
        <w:autoSpaceDN/>
        <w:adjustRightInd/>
        <w:spacing w:after="160" w:line="259" w:lineRule="auto"/>
        <w:contextualSpacing/>
        <w:jc w:val="both"/>
        <w:textAlignment w:val="auto"/>
        <w:rPr>
          <w:rFonts w:ascii="Calibri" w:hAnsi="Calibri" w:cs="Arial"/>
          <w:color w:val="000000"/>
          <w:szCs w:val="24"/>
        </w:rPr>
      </w:pPr>
      <w:r w:rsidRPr="009F3A48">
        <w:rPr>
          <w:rFonts w:ascii="Calibri" w:hAnsi="Calibri" w:cs="Arial"/>
          <w:color w:val="000000"/>
          <w:szCs w:val="24"/>
        </w:rPr>
        <w:t>Il faut tout d’abord l’indiquer en départ (</w:t>
      </w:r>
      <w:r w:rsidRPr="009F3A48">
        <w:rPr>
          <w:rFonts w:ascii="Calibri" w:hAnsi="Calibri" w:cs="Arial"/>
          <w:i/>
          <w:color w:val="E36C0A"/>
          <w:szCs w:val="24"/>
        </w:rPr>
        <w:t>indicateur 1.9.4.0.2 – « Départs dans l'année 2021 »</w:t>
      </w:r>
      <w:r w:rsidRPr="009F3A48">
        <w:rPr>
          <w:rFonts w:ascii="Calibri" w:hAnsi="Calibri" w:cs="Arial"/>
          <w:color w:val="000000"/>
          <w:szCs w:val="24"/>
        </w:rPr>
        <w:t xml:space="preserve"> - tableau « Contractuels sur emploi permanent ») à la ligne « Congé parental ».</w:t>
      </w:r>
    </w:p>
    <w:p w14:paraId="6E093754" w14:textId="77777777" w:rsidR="009F3A48" w:rsidRPr="009F3A48" w:rsidRDefault="009F3A48" w:rsidP="009F3A48">
      <w:pPr>
        <w:numPr>
          <w:ilvl w:val="0"/>
          <w:numId w:val="10"/>
        </w:numPr>
        <w:overflowPunct/>
        <w:autoSpaceDE/>
        <w:autoSpaceDN/>
        <w:adjustRightInd/>
        <w:spacing w:after="120" w:line="259" w:lineRule="auto"/>
        <w:contextualSpacing/>
        <w:jc w:val="both"/>
        <w:textAlignment w:val="auto"/>
        <w:rPr>
          <w:rFonts w:ascii="Calibri" w:hAnsi="Calibri" w:cs="Arial"/>
          <w:color w:val="000000"/>
          <w:szCs w:val="24"/>
        </w:rPr>
      </w:pPr>
      <w:r w:rsidRPr="009F3A48">
        <w:rPr>
          <w:rFonts w:ascii="Calibri" w:hAnsi="Calibri" w:cs="Arial"/>
          <w:color w:val="000000"/>
          <w:szCs w:val="24"/>
        </w:rPr>
        <w:t xml:space="preserve">Puis, il faut l’indiquer en arrivée </w:t>
      </w:r>
      <w:r w:rsidRPr="009F3A48">
        <w:rPr>
          <w:rFonts w:ascii="Calibri" w:hAnsi="Calibri" w:cs="Arial"/>
          <w:szCs w:val="24"/>
        </w:rPr>
        <w:t>(</w:t>
      </w:r>
      <w:r w:rsidRPr="009F3A48">
        <w:rPr>
          <w:rFonts w:ascii="Calibri" w:hAnsi="Calibri" w:cs="Arial"/>
          <w:i/>
          <w:color w:val="E36C0A"/>
          <w:szCs w:val="24"/>
        </w:rPr>
        <w:t>indicateur 1.9.3– « Arrivées de contractuels sur emploi permanent dans l'année 2021 »</w:t>
      </w:r>
      <w:r w:rsidRPr="009F3A48">
        <w:rPr>
          <w:rFonts w:ascii="Calibri" w:hAnsi="Calibri" w:cs="Arial"/>
          <w:szCs w:val="24"/>
        </w:rPr>
        <w:t>)</w:t>
      </w:r>
      <w:r w:rsidRPr="009F3A48">
        <w:rPr>
          <w:rFonts w:ascii="Calibri" w:hAnsi="Calibri" w:cs="Arial"/>
          <w:color w:val="000000"/>
          <w:szCs w:val="24"/>
        </w:rPr>
        <w:t>.</w:t>
      </w:r>
    </w:p>
    <w:p w14:paraId="729C8859" w14:textId="77777777" w:rsidR="009F3A48" w:rsidRPr="009F3A48" w:rsidRDefault="009F3A48" w:rsidP="009F3A48">
      <w:pPr>
        <w:tabs>
          <w:tab w:val="left" w:pos="3518"/>
        </w:tabs>
        <w:jc w:val="both"/>
        <w:rPr>
          <w:rFonts w:ascii="Calibri" w:hAnsi="Calibri" w:cs="Arial"/>
          <w:b/>
          <w:color w:val="000000"/>
          <w:szCs w:val="24"/>
        </w:rPr>
      </w:pPr>
    </w:p>
    <w:p w14:paraId="7A27C1D4" w14:textId="77777777" w:rsidR="009F3A48" w:rsidRPr="009F3A48" w:rsidRDefault="009F3A48" w:rsidP="009F3A48">
      <w:pPr>
        <w:jc w:val="both"/>
        <w:rPr>
          <w:rFonts w:ascii="Calibri" w:hAnsi="Calibri" w:cs="Arial"/>
          <w:b/>
          <w:color w:val="00B0F0"/>
          <w:szCs w:val="24"/>
        </w:rPr>
      </w:pPr>
      <w:r w:rsidRPr="009F3A48">
        <w:rPr>
          <w:rFonts w:ascii="Calibri" w:hAnsi="Calibri" w:cs="Arial"/>
          <w:b/>
          <w:color w:val="00B0F0"/>
          <w:szCs w:val="24"/>
        </w:rPr>
        <w:t>« Fin de détachement dans votre collectivité » : faut-il y inclure les agents qui, à la suite de leur détachement, ont intégré la collectivité (avant le terme ou au terme du détachement) ?</w:t>
      </w:r>
    </w:p>
    <w:p w14:paraId="6243D9D3" w14:textId="77777777" w:rsidR="009F3A48" w:rsidRPr="009F3A48" w:rsidRDefault="009F3A48" w:rsidP="009F3A48">
      <w:pPr>
        <w:jc w:val="both"/>
        <w:rPr>
          <w:rFonts w:ascii="Calibri" w:hAnsi="Calibri"/>
          <w:color w:val="000000"/>
          <w:szCs w:val="24"/>
        </w:rPr>
      </w:pPr>
      <w:r w:rsidRPr="009F3A48">
        <w:rPr>
          <w:rFonts w:ascii="Calibri" w:hAnsi="Calibri" w:cs="Arial"/>
          <w:color w:val="000000"/>
          <w:szCs w:val="24"/>
        </w:rPr>
        <w:t xml:space="preserve">Oui. Vous devez également renseigner ces agents dans les arrivées </w:t>
      </w:r>
      <w:r w:rsidRPr="009F3A48">
        <w:rPr>
          <w:rFonts w:ascii="Calibri" w:hAnsi="Calibri" w:cs="Arial"/>
          <w:i/>
          <w:color w:val="E36C0A"/>
          <w:szCs w:val="24"/>
        </w:rPr>
        <w:t>(indicateur 1.9.2)</w:t>
      </w:r>
      <w:r w:rsidRPr="009F3A48">
        <w:rPr>
          <w:rFonts w:ascii="Calibri" w:hAnsi="Calibri" w:cs="Arial"/>
          <w:color w:val="000000"/>
          <w:szCs w:val="24"/>
        </w:rPr>
        <w:t>, par élimination, dans « par voie de détachement » à la colonne « d’autres collectivités territoriales » [1.9.2(11)]. L’agent est ainsi recensé dans les départs (indicateur 1.9.4.0.1) et</w:t>
      </w:r>
      <w:r w:rsidRPr="009F3A48">
        <w:rPr>
          <w:rFonts w:ascii="Calibri" w:hAnsi="Calibri"/>
          <w:color w:val="000000"/>
          <w:szCs w:val="24"/>
        </w:rPr>
        <w:t xml:space="preserve"> dans les arrivées (indicateur 1.9.2).</w:t>
      </w:r>
    </w:p>
    <w:p w14:paraId="60085E93" w14:textId="77777777" w:rsidR="009F3A48" w:rsidRPr="009F3A48" w:rsidRDefault="009F3A48" w:rsidP="009F3A48">
      <w:pPr>
        <w:jc w:val="both"/>
        <w:rPr>
          <w:rFonts w:ascii="Calibri" w:hAnsi="Calibri"/>
          <w:color w:val="000000"/>
          <w:szCs w:val="24"/>
        </w:rPr>
      </w:pPr>
    </w:p>
    <w:p w14:paraId="3C210EF6"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Que recouvre la colonne "recrutement direct" ?</w:t>
      </w:r>
    </w:p>
    <w:p w14:paraId="5B47B9E0" w14:textId="4349681F" w:rsidR="009F3A48" w:rsidRPr="009F3A48" w:rsidRDefault="009F3A48" w:rsidP="009F3A48">
      <w:pPr>
        <w:jc w:val="both"/>
        <w:rPr>
          <w:rFonts w:ascii="Calibri" w:hAnsi="Calibri"/>
          <w:color w:val="000000"/>
          <w:szCs w:val="24"/>
        </w:rPr>
      </w:pPr>
      <w:r w:rsidRPr="009F3A48">
        <w:rPr>
          <w:rFonts w:ascii="Calibri" w:hAnsi="Calibri"/>
          <w:color w:val="000000"/>
          <w:szCs w:val="24"/>
        </w:rPr>
        <w:t>Il s'agit des recrutements ne nécessitant pas d'être lauréat d'un concours. Il</w:t>
      </w:r>
      <w:r w:rsidR="00983E6F">
        <w:rPr>
          <w:rFonts w:ascii="Calibri" w:hAnsi="Calibri"/>
          <w:color w:val="000000"/>
          <w:szCs w:val="24"/>
        </w:rPr>
        <w:t>s</w:t>
      </w:r>
      <w:r w:rsidRPr="009F3A48">
        <w:rPr>
          <w:rFonts w:ascii="Calibri" w:hAnsi="Calibri"/>
          <w:color w:val="000000"/>
          <w:szCs w:val="24"/>
        </w:rPr>
        <w:t xml:space="preserve"> relève</w:t>
      </w:r>
      <w:r w:rsidR="00983E6F">
        <w:rPr>
          <w:rFonts w:ascii="Calibri" w:hAnsi="Calibri"/>
          <w:color w:val="000000"/>
          <w:szCs w:val="24"/>
        </w:rPr>
        <w:t>nt</w:t>
      </w:r>
      <w:r w:rsidRPr="009F3A48">
        <w:rPr>
          <w:rFonts w:ascii="Calibri" w:hAnsi="Calibri"/>
          <w:color w:val="000000"/>
          <w:szCs w:val="24"/>
        </w:rPr>
        <w:t xml:space="preserve"> de la seule compétence de l'autorité territoriale. Exemple : adjoint administratif territorial.</w:t>
      </w:r>
    </w:p>
    <w:p w14:paraId="69B29D4A" w14:textId="77777777" w:rsidR="009F3A48" w:rsidRPr="009F3A48" w:rsidRDefault="009F3A48" w:rsidP="009F3A48">
      <w:pPr>
        <w:jc w:val="both"/>
        <w:rPr>
          <w:rFonts w:ascii="Calibri" w:hAnsi="Calibri"/>
          <w:color w:val="000000"/>
          <w:szCs w:val="24"/>
        </w:rPr>
      </w:pPr>
    </w:p>
    <w:p w14:paraId="044914B3" w14:textId="77777777" w:rsidR="009F3A48" w:rsidRPr="009F3A48" w:rsidRDefault="009F3A48" w:rsidP="009F3A48">
      <w:pPr>
        <w:jc w:val="both"/>
        <w:rPr>
          <w:rFonts w:ascii="Calibri" w:hAnsi="Calibri" w:cs="Arial"/>
          <w:b/>
          <w:color w:val="00B0F0"/>
          <w:szCs w:val="24"/>
        </w:rPr>
      </w:pPr>
      <w:r w:rsidRPr="009F3A48">
        <w:rPr>
          <w:rFonts w:ascii="Calibri" w:hAnsi="Calibri" w:cs="Arial"/>
          <w:b/>
          <w:color w:val="00B0F0"/>
          <w:szCs w:val="24"/>
        </w:rPr>
        <w:t>Où comptabiliser un agent arrivé en 2021 en tant que contractuel sur emploi permanent et « stagiairisé » la même année ? En</w:t>
      </w:r>
      <w:r w:rsidRPr="009F3A48">
        <w:rPr>
          <w:rFonts w:ascii="Calibri" w:hAnsi="Calibri" w:cs="Arial"/>
          <w:i/>
          <w:color w:val="E36C0A"/>
          <w:szCs w:val="24"/>
        </w:rPr>
        <w:t xml:space="preserve"> 1.9.2 – « Arrivées de fonctionnaires dans l’année 2021 »</w:t>
      </w:r>
      <w:r w:rsidRPr="009F3A48">
        <w:rPr>
          <w:rFonts w:ascii="Calibri" w:hAnsi="Calibri" w:cs="Arial"/>
          <w:b/>
          <w:color w:val="00B0F0"/>
          <w:szCs w:val="24"/>
        </w:rPr>
        <w:t xml:space="preserve"> ou en </w:t>
      </w:r>
      <w:r w:rsidRPr="009F3A48">
        <w:rPr>
          <w:rFonts w:ascii="Calibri" w:hAnsi="Calibri" w:cs="Arial"/>
          <w:i/>
          <w:color w:val="E36C0A"/>
          <w:szCs w:val="24"/>
        </w:rPr>
        <w:t>1.9.3 – « Arrivées de contractuels dans l’année 2021 » </w:t>
      </w:r>
      <w:r w:rsidRPr="009F3A48">
        <w:rPr>
          <w:rFonts w:ascii="Calibri" w:hAnsi="Calibri" w:cs="Arial"/>
          <w:b/>
          <w:color w:val="00B0F0"/>
          <w:szCs w:val="24"/>
        </w:rPr>
        <w:t>?</w:t>
      </w:r>
    </w:p>
    <w:p w14:paraId="02ABD153" w14:textId="77777777" w:rsidR="009F3A48" w:rsidRPr="009F3A48" w:rsidRDefault="009F3A48" w:rsidP="009F3A48">
      <w:pPr>
        <w:jc w:val="both"/>
        <w:rPr>
          <w:rFonts w:ascii="Calibri" w:hAnsi="Calibri" w:cs="Arial"/>
          <w:color w:val="000000"/>
          <w:szCs w:val="24"/>
        </w:rPr>
      </w:pPr>
      <w:r w:rsidRPr="009F3A48">
        <w:rPr>
          <w:rFonts w:ascii="Calibri" w:hAnsi="Calibri"/>
          <w:bCs/>
          <w:iCs/>
          <w:color w:val="000000"/>
          <w:szCs w:val="24"/>
        </w:rPr>
        <w:t>La situation à prendre en compte étant celle de l’agent au 31/12/2021, il convient de le comptabiliser au niveau de</w:t>
      </w:r>
      <w:r w:rsidRPr="009F3A48">
        <w:rPr>
          <w:rFonts w:ascii="Calibri" w:hAnsi="Calibri" w:cs="Arial"/>
          <w:b/>
          <w:bCs/>
          <w:iCs/>
          <w:color w:val="E36C0A"/>
          <w:szCs w:val="24"/>
        </w:rPr>
        <w:t xml:space="preserve"> </w:t>
      </w:r>
      <w:r w:rsidRPr="009F3A48">
        <w:rPr>
          <w:rFonts w:ascii="Calibri" w:hAnsi="Calibri" w:cs="Arial"/>
          <w:i/>
          <w:color w:val="E36C0A"/>
          <w:szCs w:val="24"/>
        </w:rPr>
        <w:t>l’indicateur 1.9.2 - « Arrivée de fonctionnaires dans l’année 2021 »</w:t>
      </w:r>
      <w:r w:rsidRPr="009F3A48">
        <w:rPr>
          <w:rFonts w:ascii="Calibri" w:hAnsi="Calibri" w:cs="Arial"/>
          <w:color w:val="000000"/>
          <w:szCs w:val="24"/>
        </w:rPr>
        <w:t>.</w:t>
      </w:r>
    </w:p>
    <w:p w14:paraId="148A1CC5"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 xml:space="preserve">Cet agent est par ailleurs à comptabiliser au niveau de </w:t>
      </w:r>
      <w:r w:rsidRPr="009F3A48">
        <w:rPr>
          <w:rFonts w:ascii="Calibri" w:hAnsi="Calibri" w:cs="Arial"/>
          <w:i/>
          <w:color w:val="E36C0A"/>
          <w:szCs w:val="24"/>
        </w:rPr>
        <w:t>l’indicateur 1.9.5</w:t>
      </w:r>
      <w:r w:rsidRPr="009F3A48">
        <w:rPr>
          <w:rFonts w:ascii="Calibri" w:hAnsi="Calibri"/>
          <w:color w:val="000000"/>
          <w:szCs w:val="24"/>
        </w:rPr>
        <w:t xml:space="preserve"> </w:t>
      </w:r>
      <w:r w:rsidRPr="009F3A48">
        <w:rPr>
          <w:rFonts w:ascii="Calibri" w:hAnsi="Calibri" w:cs="Arial"/>
          <w:i/>
          <w:color w:val="E36C0A"/>
          <w:szCs w:val="24"/>
        </w:rPr>
        <w:t>- « Titularisation au cours de l’année 2021 »</w:t>
      </w:r>
      <w:r w:rsidRPr="009F3A48">
        <w:rPr>
          <w:rFonts w:ascii="Calibri" w:hAnsi="Calibri"/>
          <w:color w:val="000000"/>
          <w:szCs w:val="24"/>
        </w:rPr>
        <w:t>, à la ligne « Agents contractuels permanents (déjà présents) nommés stagiaires dans l’année 2021 ».</w:t>
      </w:r>
    </w:p>
    <w:p w14:paraId="117E6D37" w14:textId="77777777" w:rsidR="009F3A48" w:rsidRPr="009F3A48" w:rsidRDefault="009F3A48" w:rsidP="009F3A48">
      <w:pPr>
        <w:jc w:val="both"/>
        <w:rPr>
          <w:rFonts w:ascii="Calibri" w:hAnsi="Calibri"/>
          <w:color w:val="000000"/>
          <w:szCs w:val="24"/>
          <w:u w:val="single"/>
        </w:rPr>
      </w:pPr>
    </w:p>
    <w:p w14:paraId="207A5746" w14:textId="77777777" w:rsidR="009F3A48" w:rsidRPr="009F3A48" w:rsidRDefault="009F3A48" w:rsidP="009F3A48">
      <w:pPr>
        <w:jc w:val="both"/>
        <w:rPr>
          <w:rFonts w:ascii="Calibri" w:hAnsi="Calibri" w:cs="Arial"/>
          <w:b/>
          <w:color w:val="00B0F0"/>
          <w:szCs w:val="24"/>
        </w:rPr>
      </w:pPr>
      <w:r w:rsidRPr="009F3A48">
        <w:rPr>
          <w:rFonts w:ascii="Calibri" w:hAnsi="Calibri" w:cs="Arial"/>
          <w:b/>
          <w:color w:val="00B0F0"/>
          <w:szCs w:val="24"/>
        </w:rPr>
        <w:t>Comment renseigner l’arrivée d’un agent stagiaire au cours de l’année ?</w:t>
      </w:r>
    </w:p>
    <w:p w14:paraId="1072E370" w14:textId="77777777" w:rsidR="009F3A48" w:rsidRPr="009F3A48" w:rsidRDefault="009F3A48" w:rsidP="009F3A48">
      <w:pPr>
        <w:jc w:val="both"/>
        <w:rPr>
          <w:rFonts w:ascii="Calibri" w:hAnsi="Calibri"/>
        </w:rPr>
      </w:pPr>
      <w:r w:rsidRPr="009F3A48">
        <w:rPr>
          <w:rFonts w:ascii="Calibri" w:hAnsi="Calibri" w:cs="Arial"/>
          <w:i/>
          <w:color w:val="E36C0A"/>
          <w:szCs w:val="24"/>
        </w:rPr>
        <w:t>Indicateur 1.9.2 – « Arrivées de fonctionnaires »</w:t>
      </w:r>
    </w:p>
    <w:p w14:paraId="228BEC59" w14:textId="77777777" w:rsidR="009F3A48" w:rsidRPr="009F3A48" w:rsidRDefault="009F3A48" w:rsidP="009F3A48">
      <w:pPr>
        <w:jc w:val="both"/>
        <w:rPr>
          <w:rFonts w:ascii="Calibri" w:hAnsi="Calibri"/>
          <w:bCs/>
          <w:iCs/>
          <w:color w:val="000000"/>
          <w:szCs w:val="24"/>
        </w:rPr>
      </w:pPr>
      <w:r w:rsidRPr="009F3A48">
        <w:rPr>
          <w:rFonts w:ascii="Calibri" w:hAnsi="Calibri"/>
          <w:bCs/>
          <w:iCs/>
          <w:color w:val="000000"/>
          <w:szCs w:val="24"/>
        </w:rPr>
        <w:t xml:space="preserve">Si l’agent était contractuel au sein de la collectivité, il doit être comptabilisé dans les départs au </w:t>
      </w:r>
      <w:r w:rsidRPr="009F3A48">
        <w:rPr>
          <w:rFonts w:ascii="Calibri" w:hAnsi="Calibri" w:cs="Arial"/>
          <w:i/>
          <w:color w:val="E36C0A"/>
          <w:szCs w:val="24"/>
        </w:rPr>
        <w:t>1.9.4.0.2</w:t>
      </w:r>
      <w:r w:rsidRPr="009F3A48">
        <w:rPr>
          <w:rFonts w:ascii="Calibri" w:hAnsi="Calibri"/>
          <w:bCs/>
          <w:iCs/>
          <w:color w:val="000000"/>
          <w:szCs w:val="24"/>
        </w:rPr>
        <w:t>, dans les arrivées au 1.9.2(1) et également au 1.9.5, l’indicateur portant sur les titularisations.</w:t>
      </w:r>
    </w:p>
    <w:p w14:paraId="6CF6CFB2" w14:textId="77777777" w:rsidR="009F3A48" w:rsidRPr="009F3A48" w:rsidRDefault="009F3A48" w:rsidP="009F3A48">
      <w:pPr>
        <w:jc w:val="both"/>
        <w:rPr>
          <w:rFonts w:ascii="Calibri" w:hAnsi="Calibri"/>
          <w:bCs/>
          <w:iCs/>
          <w:color w:val="000000"/>
          <w:szCs w:val="24"/>
        </w:rPr>
      </w:pPr>
      <w:r w:rsidRPr="009F3A48">
        <w:rPr>
          <w:rFonts w:ascii="Calibri" w:hAnsi="Calibri"/>
          <w:bCs/>
          <w:iCs/>
          <w:color w:val="000000"/>
          <w:szCs w:val="24"/>
        </w:rPr>
        <w:t xml:space="preserve">Si l’agent est recruté en externe, il doit être recensé dans les arrivées au 1.9.2 et également à l’indicateur </w:t>
      </w:r>
      <w:r w:rsidRPr="009F3A48">
        <w:rPr>
          <w:rFonts w:ascii="Calibri" w:hAnsi="Calibri" w:cs="Arial"/>
          <w:i/>
          <w:color w:val="E36C0A"/>
          <w:szCs w:val="24"/>
        </w:rPr>
        <w:t>1.9.5</w:t>
      </w:r>
      <w:r w:rsidRPr="009F3A48">
        <w:rPr>
          <w:rFonts w:ascii="Calibri" w:hAnsi="Calibri"/>
          <w:bCs/>
          <w:iCs/>
          <w:color w:val="000000"/>
          <w:szCs w:val="24"/>
        </w:rPr>
        <w:t>.</w:t>
      </w:r>
    </w:p>
    <w:p w14:paraId="538AD6CD" w14:textId="77777777" w:rsidR="009F3A48" w:rsidRPr="009F3A48" w:rsidRDefault="009F3A48" w:rsidP="009F3A48">
      <w:pPr>
        <w:jc w:val="both"/>
        <w:rPr>
          <w:rFonts w:ascii="Calibri" w:hAnsi="Calibri"/>
          <w:bCs/>
          <w:iCs/>
          <w:color w:val="000000"/>
          <w:szCs w:val="24"/>
        </w:rPr>
      </w:pPr>
    </w:p>
    <w:p w14:paraId="105F491F" w14:textId="77777777" w:rsidR="009F3A48" w:rsidRPr="009F3A48" w:rsidRDefault="009F3A48" w:rsidP="009F3A48">
      <w:pPr>
        <w:jc w:val="both"/>
        <w:rPr>
          <w:rFonts w:ascii="Calibri" w:hAnsi="Calibri" w:cs="Arial"/>
          <w:b/>
          <w:color w:val="00B0F0"/>
          <w:szCs w:val="24"/>
        </w:rPr>
      </w:pPr>
      <w:r w:rsidRPr="009F3A48">
        <w:rPr>
          <w:rFonts w:ascii="Calibri" w:hAnsi="Calibri" w:cs="Arial"/>
          <w:b/>
          <w:color w:val="00B0F0"/>
          <w:szCs w:val="24"/>
        </w:rPr>
        <w:lastRenderedPageBreak/>
        <w:t>Dois-je compter les agents déjà fonctionnaires, détachés pour stage et titularisés au cours de l’année ?</w:t>
      </w:r>
    </w:p>
    <w:p w14:paraId="3284EB27" w14:textId="77777777" w:rsidR="009F3A48" w:rsidRPr="009F3A48" w:rsidRDefault="009F3A48" w:rsidP="009F3A48">
      <w:pPr>
        <w:jc w:val="both"/>
        <w:rPr>
          <w:rFonts w:ascii="Calibri" w:hAnsi="Calibri" w:cs="Arial"/>
          <w:i/>
          <w:color w:val="E36C0A"/>
          <w:szCs w:val="24"/>
        </w:rPr>
      </w:pPr>
      <w:r w:rsidRPr="009F3A48">
        <w:rPr>
          <w:rFonts w:ascii="Calibri" w:hAnsi="Calibri" w:cs="Arial"/>
          <w:i/>
          <w:color w:val="E36C0A"/>
          <w:szCs w:val="24"/>
        </w:rPr>
        <w:t>Indicateur 1.9.5 – « Titularisations au cours de l’année 2021 »</w:t>
      </w:r>
    </w:p>
    <w:p w14:paraId="303DF62F" w14:textId="77777777" w:rsidR="009F3A48" w:rsidRPr="009F3A48" w:rsidRDefault="009F3A48" w:rsidP="009F3A48">
      <w:pPr>
        <w:jc w:val="both"/>
        <w:rPr>
          <w:rFonts w:ascii="Calibri" w:hAnsi="Calibri"/>
          <w:color w:val="000000"/>
          <w:szCs w:val="24"/>
        </w:rPr>
      </w:pPr>
      <w:r w:rsidRPr="009F3A48">
        <w:rPr>
          <w:rFonts w:ascii="Calibri" w:hAnsi="Calibri"/>
          <w:color w:val="000000"/>
          <w:szCs w:val="24"/>
        </w:rPr>
        <w:t>Oui, les titularisations doivent être comptabilisées qu’il s’agisse ou non d’une première titularisation.</w:t>
      </w:r>
    </w:p>
    <w:p w14:paraId="541A39B2" w14:textId="77777777" w:rsidR="009F3A48" w:rsidRPr="009F3A48" w:rsidRDefault="009F3A48" w:rsidP="009F3A48">
      <w:pPr>
        <w:jc w:val="both"/>
        <w:rPr>
          <w:rFonts w:ascii="Calibri" w:hAnsi="Calibri"/>
          <w:color w:val="000000"/>
          <w:szCs w:val="24"/>
          <w:u w:val="single"/>
        </w:rPr>
      </w:pPr>
    </w:p>
    <w:p w14:paraId="0D244C97" w14:textId="77777777" w:rsidR="009F3A48" w:rsidRPr="009F3A48" w:rsidRDefault="009F3A48" w:rsidP="009F3A48">
      <w:pPr>
        <w:jc w:val="both"/>
        <w:rPr>
          <w:rFonts w:ascii="Calibri" w:hAnsi="Calibri" w:cs="Arial"/>
          <w:b/>
          <w:color w:val="00B0F0"/>
          <w:szCs w:val="24"/>
        </w:rPr>
      </w:pPr>
      <w:r w:rsidRPr="009F3A48">
        <w:rPr>
          <w:rFonts w:ascii="Calibri" w:hAnsi="Calibri" w:cs="Arial"/>
          <w:b/>
          <w:color w:val="00B0F0"/>
          <w:szCs w:val="24"/>
        </w:rPr>
        <w:t>Où comptabiliser un agent ayant bénéficié d’un emploi aidé (emploi non permanent) qui a été nommé stagiaire à la suite de son contrat au cours de l’année 2021 ?</w:t>
      </w:r>
    </w:p>
    <w:p w14:paraId="449AF80D" w14:textId="77777777" w:rsidR="009F3A48" w:rsidRPr="009F3A48" w:rsidRDefault="009F3A48" w:rsidP="009F3A48">
      <w:pPr>
        <w:spacing w:after="120"/>
        <w:jc w:val="both"/>
        <w:rPr>
          <w:rFonts w:ascii="Calibri" w:hAnsi="Calibri"/>
          <w:color w:val="000000"/>
          <w:szCs w:val="24"/>
        </w:rPr>
      </w:pPr>
      <w:r w:rsidRPr="009F3A48">
        <w:rPr>
          <w:rFonts w:ascii="Calibri" w:hAnsi="Calibri"/>
          <w:color w:val="000000"/>
          <w:szCs w:val="24"/>
        </w:rPr>
        <w:t xml:space="preserve">1. L'indiquer dans </w:t>
      </w:r>
      <w:r w:rsidRPr="009F3A48">
        <w:rPr>
          <w:rFonts w:ascii="Calibri" w:hAnsi="Calibri" w:cs="Arial"/>
          <w:i/>
          <w:color w:val="E36C0A"/>
          <w:szCs w:val="24"/>
        </w:rPr>
        <w:t xml:space="preserve">l’indicateur 1.3.1, </w:t>
      </w:r>
      <w:r w:rsidRPr="009F3A48">
        <w:rPr>
          <w:rFonts w:ascii="Calibri" w:hAnsi="Calibri" w:cs="Arial"/>
          <w:szCs w:val="24"/>
        </w:rPr>
        <w:t>ayant travaillé au moins un jour entre le 01/01/2021 et le 31/12/2021</w:t>
      </w:r>
      <w:r w:rsidRPr="009F3A48">
        <w:rPr>
          <w:rFonts w:ascii="Calibri" w:hAnsi="Calibri"/>
          <w:szCs w:val="24"/>
        </w:rPr>
        <w:t>.</w:t>
      </w:r>
      <w:r w:rsidRPr="009F3A48">
        <w:rPr>
          <w:rFonts w:ascii="Calibri" w:hAnsi="Calibri"/>
          <w:color w:val="000000"/>
          <w:szCs w:val="24"/>
        </w:rPr>
        <w:t xml:space="preserve"> En effet, l’emploi aidé ayant pris fin au cours de l’année 2021, il ne faut pas le comptabiliser dans les effectifs non permanents au 31 décembre. </w:t>
      </w:r>
      <w:proofErr w:type="gramStart"/>
      <w:r w:rsidRPr="009F3A48">
        <w:rPr>
          <w:rFonts w:ascii="Calibri" w:hAnsi="Calibri"/>
          <w:color w:val="000000"/>
          <w:szCs w:val="24"/>
        </w:rPr>
        <w:t>Par contre</w:t>
      </w:r>
      <w:proofErr w:type="gramEnd"/>
      <w:r w:rsidRPr="009F3A48">
        <w:rPr>
          <w:rFonts w:ascii="Calibri" w:hAnsi="Calibri"/>
          <w:color w:val="000000"/>
          <w:szCs w:val="24"/>
        </w:rPr>
        <w:t xml:space="preserve">, il faut le comptabiliser sur emploi permanent au 31/12/2021 : </w:t>
      </w:r>
      <w:r w:rsidRPr="009F3A48">
        <w:rPr>
          <w:rFonts w:ascii="Calibri" w:hAnsi="Calibri" w:cs="Arial"/>
          <w:i/>
          <w:color w:val="E36C0A"/>
          <w:szCs w:val="24"/>
        </w:rPr>
        <w:t>indicateur 1.1.1 - Nombre de fonctionnaires</w:t>
      </w:r>
      <w:r w:rsidRPr="009F3A48">
        <w:rPr>
          <w:rFonts w:ascii="Calibri" w:hAnsi="Calibri" w:cs="Arial"/>
          <w:szCs w:val="24"/>
        </w:rPr>
        <w:t>.</w:t>
      </w:r>
    </w:p>
    <w:p w14:paraId="082AD13C" w14:textId="77777777" w:rsidR="009F3A48" w:rsidRPr="009F3A48" w:rsidRDefault="009F3A48" w:rsidP="009F3A48">
      <w:pPr>
        <w:spacing w:after="120"/>
        <w:jc w:val="both"/>
        <w:rPr>
          <w:rFonts w:ascii="Calibri" w:hAnsi="Calibri"/>
          <w:color w:val="000000"/>
          <w:szCs w:val="24"/>
        </w:rPr>
      </w:pPr>
      <w:r w:rsidRPr="009F3A48">
        <w:rPr>
          <w:rFonts w:ascii="Calibri" w:hAnsi="Calibri"/>
          <w:color w:val="000000"/>
          <w:szCs w:val="24"/>
        </w:rPr>
        <w:t xml:space="preserve">2. Ne pas le comptabiliser sur </w:t>
      </w:r>
      <w:r w:rsidRPr="009F3A48">
        <w:rPr>
          <w:rFonts w:ascii="Calibri" w:hAnsi="Calibri" w:cs="Arial"/>
          <w:i/>
          <w:color w:val="E36C0A"/>
          <w:szCs w:val="24"/>
        </w:rPr>
        <w:t>l’indicateur 1.9.4</w:t>
      </w:r>
      <w:r w:rsidRPr="009F3A48">
        <w:rPr>
          <w:rFonts w:ascii="Calibri" w:hAnsi="Calibri"/>
          <w:color w:val="000000"/>
          <w:szCs w:val="24"/>
        </w:rPr>
        <w:t xml:space="preserve"> qui ne recense que les départs d’emplois permanents.</w:t>
      </w:r>
    </w:p>
    <w:p w14:paraId="6DA99B59" w14:textId="77777777" w:rsidR="009F3A48" w:rsidRPr="009F3A48" w:rsidRDefault="009F3A48" w:rsidP="009F3A48">
      <w:pPr>
        <w:spacing w:after="120"/>
        <w:jc w:val="both"/>
        <w:rPr>
          <w:rFonts w:ascii="Calibri" w:hAnsi="Calibri"/>
          <w:color w:val="000000"/>
          <w:szCs w:val="24"/>
        </w:rPr>
      </w:pPr>
      <w:r w:rsidRPr="009F3A48">
        <w:rPr>
          <w:rFonts w:ascii="Calibri" w:hAnsi="Calibri"/>
          <w:color w:val="000000"/>
          <w:szCs w:val="24"/>
        </w:rPr>
        <w:t xml:space="preserve">3. L'indiquer dans le </w:t>
      </w:r>
      <w:r w:rsidRPr="009F3A48">
        <w:rPr>
          <w:rFonts w:ascii="Calibri" w:hAnsi="Calibri" w:cs="Arial"/>
          <w:i/>
          <w:color w:val="E36C0A"/>
          <w:szCs w:val="24"/>
        </w:rPr>
        <w:t xml:space="preserve">1.9.2 – « Arrivées de fonctionnaires durant l'année » </w:t>
      </w:r>
      <w:r w:rsidRPr="009F3A48">
        <w:rPr>
          <w:rFonts w:ascii="Calibri" w:hAnsi="Calibri"/>
          <w:color w:val="000000"/>
          <w:szCs w:val="24"/>
        </w:rPr>
        <w:t>(car il s'agit bien d'une arrivée sur emploi permanent).</w:t>
      </w:r>
    </w:p>
    <w:p w14:paraId="1EB99A26" w14:textId="77777777" w:rsidR="009F3A48" w:rsidRPr="009F3A48" w:rsidRDefault="009F3A48" w:rsidP="0003081D">
      <w:pPr>
        <w:contextualSpacing/>
        <w:jc w:val="both"/>
        <w:rPr>
          <w:rFonts w:ascii="Calibri" w:hAnsi="Calibri"/>
          <w:color w:val="000000"/>
          <w:szCs w:val="24"/>
        </w:rPr>
      </w:pPr>
      <w:r w:rsidRPr="009F3A48">
        <w:rPr>
          <w:rFonts w:ascii="Calibri" w:hAnsi="Calibri"/>
          <w:color w:val="000000"/>
          <w:szCs w:val="24"/>
        </w:rPr>
        <w:t xml:space="preserve">Ne pas oublier de le comptabiliser à </w:t>
      </w:r>
      <w:r w:rsidRPr="009F3A48">
        <w:rPr>
          <w:rFonts w:ascii="Calibri" w:hAnsi="Calibri" w:cs="Arial"/>
          <w:i/>
          <w:color w:val="E36C0A"/>
          <w:szCs w:val="24"/>
        </w:rPr>
        <w:t>l’indicateur 1.9.5 -</w:t>
      </w:r>
      <w:r w:rsidRPr="009F3A48">
        <w:rPr>
          <w:rFonts w:ascii="Calibri" w:hAnsi="Calibri"/>
          <w:color w:val="000000"/>
          <w:szCs w:val="24"/>
        </w:rPr>
        <w:t xml:space="preserve"> </w:t>
      </w:r>
      <w:r w:rsidRPr="009F3A48">
        <w:rPr>
          <w:rFonts w:ascii="Calibri" w:hAnsi="Calibri" w:cs="Arial"/>
          <w:i/>
          <w:color w:val="E36C0A"/>
          <w:szCs w:val="24"/>
        </w:rPr>
        <w:t>« Titularisation au cours de l’année 2021 »</w:t>
      </w:r>
      <w:r w:rsidRPr="009F3A48">
        <w:rPr>
          <w:rFonts w:ascii="Calibri" w:hAnsi="Calibri"/>
          <w:color w:val="000000"/>
          <w:szCs w:val="24"/>
        </w:rPr>
        <w:t>, à la ligne « Agents contractuels non permanents (déjà présents) nommés stagiaires dans l’année 2021 ».</w:t>
      </w:r>
    </w:p>
    <w:p w14:paraId="515B5E2C" w14:textId="77777777" w:rsidR="009F3A48" w:rsidRPr="009F3A48" w:rsidRDefault="009F3A48" w:rsidP="0003081D">
      <w:pPr>
        <w:contextualSpacing/>
        <w:jc w:val="both"/>
        <w:rPr>
          <w:rFonts w:ascii="Calibri" w:hAnsi="Calibri"/>
          <w:color w:val="000000"/>
          <w:szCs w:val="24"/>
        </w:rPr>
      </w:pPr>
    </w:p>
    <w:p w14:paraId="3938AAEE" w14:textId="77777777" w:rsidR="009F3A48" w:rsidRPr="009F3A48" w:rsidRDefault="009F3A48" w:rsidP="0003081D">
      <w:pPr>
        <w:contextualSpacing/>
        <w:jc w:val="both"/>
        <w:rPr>
          <w:rFonts w:ascii="Calibri" w:hAnsi="Calibri" w:cs="Arial"/>
          <w:b/>
          <w:color w:val="00B0F0"/>
          <w:szCs w:val="24"/>
        </w:rPr>
      </w:pPr>
      <w:r w:rsidRPr="009F3A48">
        <w:rPr>
          <w:rFonts w:ascii="Calibri" w:hAnsi="Calibri" w:cs="Arial"/>
          <w:b/>
          <w:color w:val="00B0F0"/>
          <w:szCs w:val="24"/>
        </w:rPr>
        <w:t xml:space="preserve">Quelle différence entre un départ temporaire / un départ définitif ? </w:t>
      </w:r>
    </w:p>
    <w:p w14:paraId="4E024A58" w14:textId="77777777" w:rsidR="009F3A48" w:rsidRPr="009F3A48" w:rsidRDefault="009F3A48" w:rsidP="0003081D">
      <w:pPr>
        <w:contextualSpacing/>
        <w:jc w:val="both"/>
        <w:rPr>
          <w:rFonts w:ascii="Calibri" w:hAnsi="Calibri" w:cs="Arial"/>
          <w:i/>
          <w:color w:val="E36C0A"/>
          <w:szCs w:val="24"/>
        </w:rPr>
      </w:pPr>
      <w:r w:rsidRPr="009F3A48">
        <w:rPr>
          <w:rFonts w:ascii="Calibri" w:hAnsi="Calibri" w:cs="Arial"/>
          <w:i/>
          <w:color w:val="E36C0A"/>
          <w:szCs w:val="24"/>
        </w:rPr>
        <w:t>Indicateur 1.9.4 – « Départs dans l’année 2021 »</w:t>
      </w:r>
    </w:p>
    <w:p w14:paraId="48EB02A9" w14:textId="77777777" w:rsidR="009F3A48" w:rsidRPr="009F3A48" w:rsidRDefault="009F3A48" w:rsidP="0003081D">
      <w:pPr>
        <w:contextualSpacing/>
        <w:jc w:val="both"/>
        <w:rPr>
          <w:rFonts w:ascii="Calibri" w:hAnsi="Calibri"/>
        </w:rPr>
      </w:pPr>
      <w:r w:rsidRPr="009F3A48">
        <w:rPr>
          <w:rFonts w:ascii="Calibri" w:hAnsi="Calibri"/>
        </w:rPr>
        <w:t>Les départs temporaires correspondent aux départs pour lesquels l’agent est toujours présent dans le tableau des effectifs de la collectivité d’origine mais il n’est pas en position d’activité au 31 décembre 2021 dans cette dernière : détachement dans une autre structure, disponibilité, congé parental.</w:t>
      </w:r>
    </w:p>
    <w:p w14:paraId="7AD1EE6C" w14:textId="77777777" w:rsidR="009F3A48" w:rsidRPr="009F3A48" w:rsidRDefault="009F3A48" w:rsidP="009F3A48">
      <w:pPr>
        <w:jc w:val="both"/>
        <w:rPr>
          <w:rFonts w:ascii="Calibri" w:hAnsi="Calibri"/>
        </w:rPr>
      </w:pPr>
      <w:r w:rsidRPr="009F3A48">
        <w:rPr>
          <w:rFonts w:ascii="Calibri" w:hAnsi="Calibri"/>
        </w:rPr>
        <w:t>Les départs définitifs sous-entendent que l’agent n’est plus rattaché de manière directe ou indirecte à votre collectivité : mutation, intégration dans une structure de la fonction publique, décharge d’emploi et de fonctions, agent pris en charge par le CNFPT ou le centre de gestion, démission, départ à la retraite, licenciement, décès, révocation, abandon de poste, transfert de compétence.</w:t>
      </w:r>
    </w:p>
    <w:p w14:paraId="62B4AE0D" w14:textId="77777777" w:rsidR="009F3A48" w:rsidRPr="009F3A48" w:rsidRDefault="009F3A48" w:rsidP="009F3A48">
      <w:pPr>
        <w:jc w:val="both"/>
        <w:rPr>
          <w:rFonts w:ascii="Calibri" w:hAnsi="Calibri"/>
          <w:b/>
          <w:szCs w:val="24"/>
        </w:rPr>
      </w:pPr>
    </w:p>
    <w:p w14:paraId="4B38CEFA" w14:textId="77777777" w:rsidR="009F3A48" w:rsidRPr="00C95BF5" w:rsidRDefault="009F3A48" w:rsidP="009F3A48">
      <w:pPr>
        <w:overflowPunct/>
        <w:autoSpaceDE/>
        <w:autoSpaceDN/>
        <w:adjustRightInd/>
        <w:textAlignment w:val="auto"/>
        <w:rPr>
          <w:rFonts w:ascii="Calibri" w:eastAsia="Calibri" w:hAnsi="Calibri"/>
          <w:szCs w:val="24"/>
          <w:highlight w:val="yellow"/>
          <w:lang w:eastAsia="en-US"/>
        </w:rPr>
      </w:pPr>
      <w:bookmarkStart w:id="7" w:name="_Hlk102633144"/>
      <w:r w:rsidRPr="00C95BF5">
        <w:rPr>
          <w:rFonts w:ascii="Calibri" w:hAnsi="Calibri"/>
          <w:b/>
          <w:color w:val="FF0000"/>
          <w:szCs w:val="24"/>
        </w:rPr>
        <w:t>Nouveauté RSU 2021 :</w:t>
      </w:r>
      <w:r w:rsidRPr="00C95BF5">
        <w:rPr>
          <w:rFonts w:ascii="Calibri" w:eastAsia="Calibri" w:hAnsi="Calibri"/>
          <w:szCs w:val="24"/>
          <w:lang w:eastAsia="en-US"/>
        </w:rPr>
        <w:t xml:space="preserve"> </w:t>
      </w:r>
      <w:bookmarkEnd w:id="7"/>
      <w:r w:rsidRPr="00C95BF5">
        <w:rPr>
          <w:rFonts w:ascii="Calibri" w:hAnsi="Calibri"/>
          <w:b/>
          <w:color w:val="00B0F0"/>
          <w:szCs w:val="24"/>
        </w:rPr>
        <w:t>Comment comptabiliser les ruptures conventionnelles ?</w:t>
      </w:r>
    </w:p>
    <w:p w14:paraId="5D691AAB" w14:textId="07BA1208" w:rsidR="009F3A48" w:rsidRPr="00C95BF5" w:rsidRDefault="009F3A48" w:rsidP="009F3A48">
      <w:pPr>
        <w:rPr>
          <w:rFonts w:ascii="Calibri" w:hAnsi="Calibri"/>
          <w:i/>
          <w:iCs/>
          <w:color w:val="E36C0A"/>
          <w:szCs w:val="24"/>
        </w:rPr>
      </w:pPr>
      <w:r w:rsidRPr="00C95BF5">
        <w:rPr>
          <w:rFonts w:ascii="Calibri" w:hAnsi="Calibri"/>
          <w:i/>
          <w:iCs/>
          <w:color w:val="E36C0A"/>
          <w:szCs w:val="24"/>
        </w:rPr>
        <w:t>I</w:t>
      </w:r>
      <w:r w:rsidR="0003081D">
        <w:rPr>
          <w:rFonts w:ascii="Calibri" w:hAnsi="Calibri"/>
          <w:i/>
          <w:iCs/>
          <w:color w:val="E36C0A"/>
          <w:szCs w:val="24"/>
        </w:rPr>
        <w:t>ndicateur</w:t>
      </w:r>
      <w:r w:rsidRPr="00C95BF5">
        <w:rPr>
          <w:rFonts w:ascii="Calibri" w:hAnsi="Calibri"/>
          <w:i/>
          <w:iCs/>
          <w:color w:val="E36C0A"/>
          <w:szCs w:val="24"/>
        </w:rPr>
        <w:t xml:space="preserve"> 1.9.4.1 et</w:t>
      </w:r>
      <w:r w:rsidR="0003081D">
        <w:rPr>
          <w:rFonts w:ascii="Calibri" w:hAnsi="Calibri"/>
          <w:i/>
          <w:iCs/>
          <w:color w:val="E36C0A"/>
          <w:szCs w:val="24"/>
        </w:rPr>
        <w:t xml:space="preserve"> indicateur</w:t>
      </w:r>
      <w:r w:rsidRPr="00C95BF5">
        <w:rPr>
          <w:rFonts w:ascii="Calibri" w:hAnsi="Calibri"/>
          <w:i/>
          <w:iCs/>
          <w:color w:val="E36C0A"/>
          <w:szCs w:val="24"/>
        </w:rPr>
        <w:t xml:space="preserve"> </w:t>
      </w:r>
      <w:bookmarkStart w:id="8" w:name="_Hlk102632956"/>
      <w:r w:rsidRPr="00C95BF5">
        <w:rPr>
          <w:rFonts w:ascii="Calibri" w:hAnsi="Calibri"/>
          <w:i/>
          <w:iCs/>
          <w:color w:val="E36C0A"/>
          <w:szCs w:val="24"/>
        </w:rPr>
        <w:t>1.9.4.2 </w:t>
      </w:r>
      <w:bookmarkEnd w:id="8"/>
    </w:p>
    <w:p w14:paraId="243107C3" w14:textId="77777777" w:rsidR="009F3A48" w:rsidRPr="00C95BF5"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C95BF5">
        <w:rPr>
          <w:rFonts w:ascii="Calibri" w:eastAsia="Calibri" w:hAnsi="Calibri"/>
          <w:szCs w:val="24"/>
          <w:lang w:eastAsia="en-US"/>
        </w:rPr>
        <w:t>L’article 72 de la loi n°2019-828 du 6 août 2019 de transformation de la fonction publique prévoit l’expérimentation pour les fonctionnaires d’une nouvelle modalité de cessation définitive des fonctions : la rupture conventionnelle. Elle est introduite à titre expérimental pour les fonctionnaires du 1er janvier 2020 au 31 décembre 2025 (art. 72 I loi n°2019-828 du 6 août 2019). Ce dispositif de rupture est également ouvert aux agents contractuels de droit public recrutés en CDI (article L552-1 du CGFP).</w:t>
      </w:r>
    </w:p>
    <w:p w14:paraId="08037E10" w14:textId="77777777" w:rsidR="009F3A48" w:rsidRPr="00C95BF5" w:rsidRDefault="009F3A48" w:rsidP="009F3A48">
      <w:pPr>
        <w:overflowPunct/>
        <w:autoSpaceDE/>
        <w:autoSpaceDN/>
        <w:adjustRightInd/>
        <w:spacing w:after="160" w:line="259" w:lineRule="auto"/>
        <w:jc w:val="both"/>
        <w:textAlignment w:val="auto"/>
        <w:rPr>
          <w:rFonts w:ascii="Calibri" w:eastAsia="Calibri" w:hAnsi="Calibri"/>
          <w:szCs w:val="24"/>
          <w:highlight w:val="yellow"/>
          <w:lang w:eastAsia="en-US"/>
        </w:rPr>
      </w:pPr>
      <w:r w:rsidRPr="00C95BF5">
        <w:rPr>
          <w:rFonts w:ascii="Calibri" w:eastAsia="Calibri" w:hAnsi="Calibri"/>
          <w:szCs w:val="24"/>
          <w:lang w:eastAsia="en-US"/>
        </w:rPr>
        <w:t>Le décret n°2019-1593 du 31 décembre 2019 détermine ses modalités d’application et notamment l’organisation de la procédure. Il s'applique à toute procédure de rupture conventionnelle engagée à compter du 1er janvier 2020.</w:t>
      </w:r>
    </w:p>
    <w:p w14:paraId="0907E476" w14:textId="77777777" w:rsidR="009F3A48" w:rsidRPr="00C95BF5"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C95BF5">
        <w:rPr>
          <w:rFonts w:ascii="Calibri" w:eastAsia="Calibri" w:hAnsi="Calibri"/>
          <w:szCs w:val="24"/>
          <w:lang w:eastAsia="en-US"/>
        </w:rPr>
        <w:t xml:space="preserve">Le nombre de procédures de rupture conventionnelle au cours de l'année 2021 est à renseigner à </w:t>
      </w:r>
      <w:r w:rsidRPr="0003081D">
        <w:rPr>
          <w:rFonts w:ascii="Calibri" w:hAnsi="Calibri" w:cs="Arial"/>
          <w:i/>
          <w:color w:val="E36C0A"/>
          <w:szCs w:val="24"/>
        </w:rPr>
        <w:t>l’indicateur 1.9.4.1</w:t>
      </w:r>
      <w:r w:rsidRPr="00C95BF5">
        <w:rPr>
          <w:rFonts w:ascii="Calibri" w:eastAsia="Calibri" w:hAnsi="Calibri"/>
          <w:szCs w:val="24"/>
          <w:lang w:eastAsia="en-US"/>
        </w:rPr>
        <w:t xml:space="preserve"> par sexe et par catégorie hiérarchique.</w:t>
      </w:r>
    </w:p>
    <w:p w14:paraId="0ED442A2" w14:textId="77777777" w:rsidR="009F3A48" w:rsidRPr="00C95BF5"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C95BF5">
        <w:rPr>
          <w:rFonts w:ascii="Calibri" w:eastAsia="Calibri" w:hAnsi="Calibri"/>
          <w:szCs w:val="24"/>
          <w:lang w:eastAsia="en-US"/>
        </w:rPr>
        <w:lastRenderedPageBreak/>
        <w:t xml:space="preserve">Le nombre de conventions de rupture conventionnelle signées au cours de l'année 2021 est à renseigner à </w:t>
      </w:r>
      <w:r w:rsidRPr="0003081D">
        <w:rPr>
          <w:rFonts w:ascii="Calibri" w:hAnsi="Calibri" w:cs="Arial"/>
          <w:i/>
          <w:color w:val="E36C0A"/>
          <w:szCs w:val="24"/>
        </w:rPr>
        <w:t>l’indicateur 1.9.4.2</w:t>
      </w:r>
      <w:r w:rsidRPr="00C95BF5">
        <w:rPr>
          <w:rFonts w:ascii="Calibri" w:eastAsia="Calibri" w:hAnsi="Calibri"/>
          <w:b/>
          <w:bCs/>
          <w:i/>
          <w:iCs/>
          <w:color w:val="ED7D31"/>
          <w:szCs w:val="24"/>
          <w:lang w:eastAsia="en-US"/>
        </w:rPr>
        <w:t> </w:t>
      </w:r>
      <w:r w:rsidRPr="00C95BF5">
        <w:rPr>
          <w:rFonts w:ascii="Calibri" w:eastAsia="Calibri" w:hAnsi="Calibri"/>
          <w:szCs w:val="24"/>
          <w:lang w:eastAsia="en-US"/>
        </w:rPr>
        <w:t>par sexe et par catégorie hiérarchique.</w:t>
      </w:r>
    </w:p>
    <w:p w14:paraId="000D0A6F" w14:textId="77777777" w:rsidR="009F3A48" w:rsidRPr="009F3A48" w:rsidRDefault="009F3A48" w:rsidP="009F3A48">
      <w:pPr>
        <w:jc w:val="both"/>
        <w:rPr>
          <w:rFonts w:ascii="Calibri" w:hAnsi="Calibri"/>
          <w:b/>
          <w:szCs w:val="24"/>
        </w:rPr>
      </w:pPr>
    </w:p>
    <w:p w14:paraId="0F56060A" w14:textId="77777777" w:rsidR="009F3A48" w:rsidRPr="009F3A48" w:rsidRDefault="009F3A48" w:rsidP="009F3A48">
      <w:pPr>
        <w:jc w:val="both"/>
        <w:rPr>
          <w:rFonts w:ascii="Calibri" w:hAnsi="Calibri" w:cs="Arial"/>
          <w:b/>
          <w:color w:val="00B0F0"/>
          <w:szCs w:val="24"/>
        </w:rPr>
      </w:pPr>
      <w:r w:rsidRPr="009F3A48">
        <w:rPr>
          <w:rFonts w:ascii="Calibri" w:hAnsi="Calibri" w:cs="Arial"/>
          <w:b/>
          <w:color w:val="00B0F0"/>
          <w:szCs w:val="24"/>
        </w:rPr>
        <w:t xml:space="preserve">Quelle distinction faire entre la réintégration et le retour d'un agent ? </w:t>
      </w:r>
    </w:p>
    <w:p w14:paraId="72326C92" w14:textId="77777777" w:rsidR="009F3A48" w:rsidRPr="009F3A48" w:rsidRDefault="009F3A48" w:rsidP="009F3A48">
      <w:pPr>
        <w:jc w:val="both"/>
        <w:rPr>
          <w:rFonts w:ascii="Calibri" w:hAnsi="Calibri" w:cs="Arial"/>
          <w:i/>
          <w:color w:val="E36C0A"/>
          <w:szCs w:val="24"/>
        </w:rPr>
      </w:pPr>
      <w:r w:rsidRPr="009F3A48">
        <w:rPr>
          <w:rFonts w:ascii="Calibri" w:hAnsi="Calibri" w:cs="Arial"/>
          <w:i/>
          <w:color w:val="E36C0A"/>
          <w:szCs w:val="24"/>
        </w:rPr>
        <w:t>Indicateurs 1.9.2 - « Arrivées de fonctionnaires dans l'année 2021 » et 1.9.3 - « Arrivées de contractuels sur emplois permanents dans l'année 2021 »</w:t>
      </w:r>
    </w:p>
    <w:p w14:paraId="137C1AB7" w14:textId="77777777" w:rsidR="009F3A48" w:rsidRPr="009F3A48" w:rsidRDefault="009F3A48" w:rsidP="009F3A48">
      <w:pPr>
        <w:spacing w:after="120"/>
        <w:jc w:val="both"/>
        <w:rPr>
          <w:rFonts w:ascii="Calibri" w:hAnsi="Calibri"/>
        </w:rPr>
      </w:pPr>
      <w:r w:rsidRPr="009F3A48">
        <w:rPr>
          <w:rFonts w:ascii="Calibri" w:hAnsi="Calibri"/>
        </w:rPr>
        <w:t>La réintégration caractérise la situation dans laquelle l’agent n’était pas payé par la collectivité d’origine pendant sa période d’absence : congé de formation au-delà de la 1</w:t>
      </w:r>
      <w:r w:rsidRPr="009F3A48">
        <w:rPr>
          <w:rFonts w:ascii="Calibri" w:hAnsi="Calibri"/>
          <w:vertAlign w:val="superscript"/>
        </w:rPr>
        <w:t>ère</w:t>
      </w:r>
      <w:r w:rsidRPr="009F3A48">
        <w:rPr>
          <w:rFonts w:ascii="Calibri" w:hAnsi="Calibri"/>
        </w:rPr>
        <w:t xml:space="preserve"> année, détachement dans une autre structure, mise en disponibilité, congé parental.</w:t>
      </w:r>
    </w:p>
    <w:p w14:paraId="1B19A1B2" w14:textId="77777777" w:rsidR="009F3A48" w:rsidRPr="009F3A48" w:rsidRDefault="009F3A48" w:rsidP="009F3A48">
      <w:pPr>
        <w:jc w:val="both"/>
        <w:rPr>
          <w:rFonts w:ascii="Calibri" w:hAnsi="Calibri"/>
        </w:rPr>
      </w:pPr>
      <w:r w:rsidRPr="009F3A48">
        <w:rPr>
          <w:rFonts w:ascii="Calibri" w:hAnsi="Calibri"/>
        </w:rPr>
        <w:t>A contrario, le retour correspond au cas de figure dans lequel l’agent en positions particulières était rémunéré par la collectivité d’origine durant sa période d’absence : mise à disposition dans une autre collectivité, décharge totale de service pour exercice de mandats syndicaux, congé de formation inférieur ou égal à un an.</w:t>
      </w:r>
    </w:p>
    <w:p w14:paraId="415CDA84" w14:textId="77777777" w:rsidR="009F3A48" w:rsidRPr="009F3A48" w:rsidRDefault="009F3A48" w:rsidP="009F3A48">
      <w:pPr>
        <w:jc w:val="both"/>
        <w:rPr>
          <w:rFonts w:ascii="Calibri" w:hAnsi="Calibri"/>
        </w:rPr>
      </w:pPr>
    </w:p>
    <w:p w14:paraId="2237E447" w14:textId="77777777" w:rsidR="009F3A48" w:rsidRPr="009F3A48" w:rsidRDefault="009F3A48" w:rsidP="009F3A48">
      <w:pPr>
        <w:jc w:val="both"/>
        <w:rPr>
          <w:rFonts w:ascii="Calibri" w:hAnsi="Calibri"/>
        </w:rPr>
      </w:pPr>
      <w:r w:rsidRPr="0003081D">
        <w:rPr>
          <w:rFonts w:ascii="Calibri" w:hAnsi="Calibri" w:cs="Arial"/>
          <w:i/>
          <w:color w:val="E36C0A"/>
          <w:szCs w:val="24"/>
        </w:rPr>
        <w:t>L’indicateur 1.9.2</w:t>
      </w:r>
      <w:r w:rsidRPr="009F3A48">
        <w:rPr>
          <w:rFonts w:ascii="Calibri" w:hAnsi="Calibri"/>
        </w:rPr>
        <w:t xml:space="preserve"> </w:t>
      </w:r>
      <w:proofErr w:type="gramStart"/>
      <w:r w:rsidRPr="009F3A48">
        <w:rPr>
          <w:rFonts w:ascii="Calibri" w:hAnsi="Calibri"/>
        </w:rPr>
        <w:t>portant</w:t>
      </w:r>
      <w:proofErr w:type="gramEnd"/>
      <w:r w:rsidRPr="009F3A48">
        <w:rPr>
          <w:rFonts w:ascii="Calibri" w:hAnsi="Calibri"/>
        </w:rPr>
        <w:t xml:space="preserve"> sur les arrivées des fonctionnaires distingue pour les situations de réintégration d’agents non rémunérés pendant la période d’absence : le retour de disponibilité </w:t>
      </w:r>
      <w:r w:rsidRPr="0003081D">
        <w:rPr>
          <w:rFonts w:ascii="Calibri" w:hAnsi="Calibri" w:cs="Arial"/>
          <w:i/>
          <w:color w:val="E36C0A"/>
          <w:szCs w:val="24"/>
        </w:rPr>
        <w:t>1.9.2 (14)</w:t>
      </w:r>
      <w:r w:rsidRPr="009F3A48">
        <w:rPr>
          <w:rFonts w:ascii="Calibri" w:hAnsi="Calibri"/>
        </w:rPr>
        <w:t xml:space="preserve"> des autres cas </w:t>
      </w:r>
      <w:r w:rsidRPr="00347C98">
        <w:rPr>
          <w:rFonts w:ascii="Calibri" w:hAnsi="Calibri" w:cs="Arial"/>
          <w:i/>
          <w:color w:val="E36C0A"/>
          <w:szCs w:val="24"/>
        </w:rPr>
        <w:t>1.9.2(15)</w:t>
      </w:r>
      <w:r w:rsidRPr="009F3A48">
        <w:rPr>
          <w:rFonts w:ascii="Calibri" w:hAnsi="Calibri"/>
        </w:rPr>
        <w:t>.</w:t>
      </w:r>
    </w:p>
    <w:p w14:paraId="7B1EF6D1" w14:textId="77777777" w:rsidR="00EA12C7" w:rsidRDefault="00EA12C7" w:rsidP="009F3A48">
      <w:pPr>
        <w:jc w:val="both"/>
        <w:rPr>
          <w:rFonts w:ascii="Calibri" w:hAnsi="Calibri"/>
          <w:b/>
          <w:szCs w:val="24"/>
        </w:rPr>
      </w:pPr>
    </w:p>
    <w:p w14:paraId="553D47F7" w14:textId="7BC97874" w:rsidR="009F3A48" w:rsidRPr="009F3A48" w:rsidRDefault="009F3A48" w:rsidP="009F3A48">
      <w:pPr>
        <w:jc w:val="both"/>
        <w:rPr>
          <w:rFonts w:ascii="Calibri" w:hAnsi="Calibri"/>
          <w:b/>
          <w:color w:val="00B0F0"/>
          <w:szCs w:val="24"/>
        </w:rPr>
      </w:pPr>
      <w:r w:rsidRPr="009F3A48">
        <w:rPr>
          <w:rFonts w:ascii="Calibri" w:hAnsi="Calibri"/>
          <w:b/>
          <w:color w:val="00B0F0"/>
          <w:szCs w:val="24"/>
        </w:rPr>
        <w:t xml:space="preserve">Comment renseigner l’indicateur 1.9.6.1 ? </w:t>
      </w:r>
    </w:p>
    <w:p w14:paraId="2AFEB635" w14:textId="2715E93E" w:rsidR="009F3A48" w:rsidRPr="009F3A48" w:rsidRDefault="009F3A48" w:rsidP="009F3A48">
      <w:pPr>
        <w:jc w:val="both"/>
        <w:rPr>
          <w:rFonts w:ascii="Calibri" w:hAnsi="Calibri" w:cs="Calibri"/>
          <w:szCs w:val="24"/>
        </w:rPr>
      </w:pPr>
      <w:r w:rsidRPr="009F3A48">
        <w:rPr>
          <w:rFonts w:ascii="Calibri" w:hAnsi="Calibri" w:cs="Calibri"/>
          <w:szCs w:val="24"/>
        </w:rPr>
        <w:t xml:space="preserve">L'indicateur 1.9.6.1 vise à recenser les avancements d’échelon, de grade et les promotions internes intervenus au cours de l'année 2021. Les modalités d'avancements d’échelon sont aux articles L522-2 et L522-3 du CGFP, les modalités d’avancement de grade sont déterminées aux articles </w:t>
      </w:r>
      <w:bookmarkStart w:id="9" w:name="_Hlk102566814"/>
      <w:r w:rsidRPr="009F3A48">
        <w:rPr>
          <w:rFonts w:ascii="Calibri" w:hAnsi="Calibri" w:cs="Calibri"/>
          <w:szCs w:val="24"/>
        </w:rPr>
        <w:t xml:space="preserve">L522-4 </w:t>
      </w:r>
      <w:bookmarkEnd w:id="9"/>
      <w:r w:rsidRPr="009F3A48">
        <w:rPr>
          <w:rFonts w:ascii="Calibri" w:hAnsi="Calibri" w:cs="Calibri"/>
          <w:szCs w:val="24"/>
        </w:rPr>
        <w:t xml:space="preserve">et L522-5. </w:t>
      </w:r>
    </w:p>
    <w:p w14:paraId="08A0E32D" w14:textId="77777777" w:rsidR="009F3A48" w:rsidRPr="009F3A48" w:rsidRDefault="009F3A48" w:rsidP="009F3A48">
      <w:pPr>
        <w:jc w:val="both"/>
        <w:rPr>
          <w:rFonts w:ascii="Calibri" w:hAnsi="Calibri"/>
          <w:b/>
          <w:szCs w:val="24"/>
          <w:highlight w:val="yellow"/>
        </w:rPr>
      </w:pPr>
    </w:p>
    <w:p w14:paraId="1F37F99C" w14:textId="344F40CD" w:rsidR="009F3A48" w:rsidRPr="009F3A48" w:rsidRDefault="009F3A48" w:rsidP="009F3A48">
      <w:pPr>
        <w:jc w:val="both"/>
        <w:rPr>
          <w:rFonts w:ascii="Calibri" w:hAnsi="Calibri"/>
          <w:szCs w:val="24"/>
        </w:rPr>
      </w:pPr>
      <w:r w:rsidRPr="009F3A48">
        <w:rPr>
          <w:rFonts w:ascii="Calibri" w:hAnsi="Calibri"/>
          <w:szCs w:val="24"/>
        </w:rPr>
        <w:t>L'avancement d'échelon (</w:t>
      </w:r>
      <w:r w:rsidRPr="009F3A48">
        <w:rPr>
          <w:rFonts w:ascii="Calibri" w:hAnsi="Calibri" w:cs="Calibri"/>
          <w:szCs w:val="24"/>
        </w:rPr>
        <w:t>article L522-2</w:t>
      </w:r>
      <w:r w:rsidR="00C95BF5">
        <w:rPr>
          <w:rFonts w:ascii="Calibri" w:hAnsi="Calibri" w:cs="Calibri"/>
          <w:szCs w:val="24"/>
        </w:rPr>
        <w:t xml:space="preserve"> du CGFP</w:t>
      </w:r>
      <w:r w:rsidRPr="009F3A48">
        <w:rPr>
          <w:rFonts w:ascii="Calibri" w:hAnsi="Calibri" w:cs="Calibri"/>
          <w:szCs w:val="24"/>
        </w:rPr>
        <w:t>)</w:t>
      </w:r>
      <w:r w:rsidRPr="009F3A48">
        <w:rPr>
          <w:rFonts w:ascii="Calibri" w:hAnsi="Calibri"/>
          <w:szCs w:val="24"/>
        </w:rPr>
        <w:t xml:space="preserve"> est le passage d'un échelon à l'échelon immédiatement supérieur à l'intérieur d'un même grade. Cela exclut toute possibilité de saut d’échelons.</w:t>
      </w:r>
    </w:p>
    <w:p w14:paraId="416F9B5B" w14:textId="77777777" w:rsidR="009F3A48" w:rsidRPr="009F3A48" w:rsidRDefault="009F3A48" w:rsidP="009F3A48">
      <w:pPr>
        <w:jc w:val="both"/>
        <w:rPr>
          <w:rFonts w:ascii="Calibri" w:hAnsi="Calibri"/>
          <w:szCs w:val="24"/>
        </w:rPr>
      </w:pPr>
    </w:p>
    <w:p w14:paraId="71A7C90C" w14:textId="4E7F5640" w:rsidR="009F3A48" w:rsidRPr="009F3A48" w:rsidRDefault="009F3A48" w:rsidP="009F3A48">
      <w:pPr>
        <w:jc w:val="both"/>
        <w:rPr>
          <w:rFonts w:ascii="Calibri" w:hAnsi="Calibri"/>
          <w:szCs w:val="24"/>
        </w:rPr>
      </w:pPr>
      <w:r w:rsidRPr="009F3A48">
        <w:rPr>
          <w:rFonts w:ascii="Calibri" w:hAnsi="Calibri"/>
          <w:szCs w:val="24"/>
        </w:rPr>
        <w:t>L’avancement de grade (</w:t>
      </w:r>
      <w:r w:rsidRPr="009F3A48">
        <w:rPr>
          <w:rFonts w:ascii="Calibri" w:hAnsi="Calibri" w:cs="Calibri"/>
          <w:szCs w:val="24"/>
        </w:rPr>
        <w:t>article L522-4</w:t>
      </w:r>
      <w:r w:rsidR="00C95BF5">
        <w:rPr>
          <w:rFonts w:ascii="Calibri" w:hAnsi="Calibri" w:cs="Calibri"/>
          <w:szCs w:val="24"/>
        </w:rPr>
        <w:t xml:space="preserve"> du CGFP</w:t>
      </w:r>
      <w:r w:rsidRPr="009F3A48">
        <w:rPr>
          <w:rFonts w:ascii="Calibri" w:hAnsi="Calibri" w:cs="Calibri"/>
          <w:szCs w:val="24"/>
        </w:rPr>
        <w:t>)</w:t>
      </w:r>
      <w:r w:rsidRPr="009F3A48">
        <w:rPr>
          <w:rFonts w:ascii="Calibri" w:hAnsi="Calibri"/>
          <w:szCs w:val="24"/>
        </w:rPr>
        <w:t xml:space="preserve"> est le passage d’un grade à un grade supérieur à l’intérieur d’un même cadre d’emplois. Il permet l'accès à des fonctions supérieures et à une rémunération plus élevée.</w:t>
      </w:r>
    </w:p>
    <w:p w14:paraId="4CD8CD24" w14:textId="77777777" w:rsidR="009F3A48" w:rsidRPr="009F3A48" w:rsidRDefault="009F3A48" w:rsidP="009F3A48">
      <w:pPr>
        <w:jc w:val="both"/>
        <w:rPr>
          <w:rFonts w:ascii="Calibri" w:hAnsi="Calibri"/>
          <w:szCs w:val="24"/>
          <w:highlight w:val="yellow"/>
        </w:rPr>
      </w:pPr>
    </w:p>
    <w:p w14:paraId="3442BA9E" w14:textId="77777777" w:rsidR="009F3A48" w:rsidRPr="009F3A48" w:rsidRDefault="009F3A48" w:rsidP="009F3A48">
      <w:pPr>
        <w:jc w:val="both"/>
        <w:rPr>
          <w:rFonts w:ascii="Calibri" w:hAnsi="Calibri"/>
          <w:szCs w:val="24"/>
        </w:rPr>
      </w:pPr>
      <w:r w:rsidRPr="009F3A48">
        <w:rPr>
          <w:rFonts w:ascii="Calibri" w:hAnsi="Calibri"/>
          <w:szCs w:val="24"/>
        </w:rPr>
        <w:t>La promotion interne consiste dans le passage d'un cadre d'emplois à un cadre d'emplois supérieur. Un fonctionnaire ne peut accéder à un cadre d'emplois supérieur par promotion interne que si le statut particulier de ce cadre d'emplois supérieur le prévoit. Elle permet d'accéder à des fonctions et à un emploi d'un niveau supérieur et à une échelle de rémunération plus élevée.</w:t>
      </w:r>
    </w:p>
    <w:p w14:paraId="7EFDFF62" w14:textId="77777777" w:rsidR="009F3A48" w:rsidRPr="009F3A48" w:rsidRDefault="009F3A48" w:rsidP="009F3A48">
      <w:pPr>
        <w:jc w:val="both"/>
        <w:rPr>
          <w:rFonts w:ascii="Calibri" w:hAnsi="Calibri"/>
          <w:b/>
          <w:szCs w:val="24"/>
          <w:highlight w:val="yellow"/>
        </w:rPr>
      </w:pPr>
    </w:p>
    <w:p w14:paraId="713B5772" w14:textId="77777777" w:rsidR="009F3A48" w:rsidRPr="009F3A48" w:rsidRDefault="009F3A48" w:rsidP="009F3A48">
      <w:pPr>
        <w:rPr>
          <w:rFonts w:ascii="Calibri" w:hAnsi="Calibri"/>
          <w:color w:val="000000"/>
          <w:szCs w:val="24"/>
          <w:shd w:val="clear" w:color="auto" w:fill="FFFFFF"/>
        </w:rPr>
      </w:pPr>
      <w:r w:rsidRPr="009F3A48">
        <w:rPr>
          <w:rFonts w:ascii="Calibri" w:hAnsi="Calibri"/>
          <w:color w:val="000000"/>
          <w:szCs w:val="24"/>
          <w:shd w:val="clear" w:color="auto" w:fill="FFFFFF"/>
        </w:rPr>
        <w:t>Les lauréats à la promotion interne sont inscrits sur une liste d'aptitude spécifique.</w:t>
      </w:r>
    </w:p>
    <w:p w14:paraId="0C96B291" w14:textId="77777777" w:rsidR="009F3A48" w:rsidRPr="009F3A48" w:rsidRDefault="009F3A48" w:rsidP="009F3A48">
      <w:pPr>
        <w:jc w:val="both"/>
        <w:rPr>
          <w:rFonts w:ascii="Calibri" w:hAnsi="Calibri"/>
          <w:b/>
          <w:szCs w:val="24"/>
          <w:highlight w:val="yellow"/>
        </w:rPr>
      </w:pPr>
    </w:p>
    <w:p w14:paraId="0C4D2BC9" w14:textId="77777777" w:rsidR="009F3A48" w:rsidRPr="009F3A48" w:rsidRDefault="009F3A48" w:rsidP="009F3A48">
      <w:pPr>
        <w:jc w:val="both"/>
        <w:rPr>
          <w:rFonts w:ascii="Calibri" w:hAnsi="Calibri" w:cs="Calibri"/>
          <w:szCs w:val="24"/>
        </w:rPr>
      </w:pPr>
      <w:r w:rsidRPr="009F3A48">
        <w:rPr>
          <w:rFonts w:ascii="Calibri" w:hAnsi="Calibri" w:cs="Calibri"/>
          <w:szCs w:val="24"/>
        </w:rPr>
        <w:t>A titre d'exemple, le grade d'attaché principal est accessible par la voie de l’avancement de grade soit au choix, soit après réussite à un examen professionnel (article 19 du décret n° 87-1099 du 30 décembre 1987 portant statut particulier du cadre d'emplois des attachés territoriaux).</w:t>
      </w:r>
    </w:p>
    <w:p w14:paraId="07957FF6" w14:textId="77777777" w:rsidR="009F3A48" w:rsidRPr="009F3A48" w:rsidRDefault="009F3A48" w:rsidP="009F3A48">
      <w:pPr>
        <w:jc w:val="both"/>
        <w:rPr>
          <w:rFonts w:ascii="Calibri" w:hAnsi="Calibri" w:cs="Calibri"/>
          <w:szCs w:val="24"/>
          <w:highlight w:val="yellow"/>
        </w:rPr>
      </w:pPr>
    </w:p>
    <w:p w14:paraId="0D5AADDA" w14:textId="77777777" w:rsidR="009F3A48" w:rsidRPr="009F3A48" w:rsidRDefault="009F3A48" w:rsidP="009F3A48">
      <w:pPr>
        <w:jc w:val="both"/>
        <w:rPr>
          <w:rFonts w:ascii="Calibri" w:hAnsi="Calibri" w:cs="Calibri"/>
          <w:szCs w:val="24"/>
        </w:rPr>
      </w:pPr>
      <w:r w:rsidRPr="009F3A48">
        <w:rPr>
          <w:rFonts w:ascii="Calibri" w:hAnsi="Calibri" w:cs="Calibri"/>
          <w:szCs w:val="24"/>
        </w:rPr>
        <w:t>Autre exemple : le grade d'attaché territorial est accessible soit par concours, soit par voie de promotion interne (article 3 du décret du 30 décembre 1987 précité).</w:t>
      </w:r>
    </w:p>
    <w:p w14:paraId="6ACC417C" w14:textId="77777777" w:rsidR="009F3A48" w:rsidRPr="009F3A48" w:rsidRDefault="009F3A48" w:rsidP="009F3A48">
      <w:pPr>
        <w:jc w:val="both"/>
        <w:rPr>
          <w:rFonts w:ascii="Calibri" w:hAnsi="Calibri" w:cs="Calibri"/>
          <w:szCs w:val="24"/>
          <w:highlight w:val="yellow"/>
        </w:rPr>
      </w:pPr>
    </w:p>
    <w:p w14:paraId="38F92237" w14:textId="77777777" w:rsidR="009F3A48" w:rsidRPr="009F3A48" w:rsidRDefault="009F3A48" w:rsidP="009F3A48">
      <w:pPr>
        <w:jc w:val="both"/>
        <w:rPr>
          <w:rFonts w:ascii="Calibri" w:hAnsi="Calibri" w:cs="Calibri"/>
          <w:szCs w:val="24"/>
        </w:rPr>
      </w:pPr>
      <w:r w:rsidRPr="009F3A48">
        <w:rPr>
          <w:rFonts w:ascii="Calibri" w:hAnsi="Calibri" w:cs="Calibri"/>
          <w:szCs w:val="24"/>
        </w:rPr>
        <w:lastRenderedPageBreak/>
        <w:t>Par exemple, un agent de police municipale (cadre d'emplois de catégorie C) peut accéder au grade de technicien territorial (cadre d'emplois de catégorie B) dès lors qu'il justifie de quatre années de services publics après réussite au concours interne d'accès à ce grade.</w:t>
      </w:r>
    </w:p>
    <w:p w14:paraId="1A7C9C65" w14:textId="77777777" w:rsidR="009F3A48" w:rsidRPr="009F3A48" w:rsidRDefault="009F3A48" w:rsidP="009F3A48">
      <w:pPr>
        <w:jc w:val="both"/>
        <w:rPr>
          <w:rFonts w:ascii="Calibri" w:hAnsi="Calibri" w:cs="Calibri"/>
          <w:color w:val="00B0F0"/>
          <w:szCs w:val="24"/>
        </w:rPr>
      </w:pPr>
    </w:p>
    <w:p w14:paraId="39889559" w14:textId="77777777" w:rsidR="009F3A48" w:rsidRPr="009F3A48" w:rsidRDefault="009F3A48" w:rsidP="009F3A48">
      <w:pPr>
        <w:jc w:val="both"/>
        <w:rPr>
          <w:rFonts w:ascii="Calibri" w:hAnsi="Calibri"/>
          <w:b/>
          <w:color w:val="00B0F0"/>
          <w:szCs w:val="24"/>
        </w:rPr>
      </w:pPr>
      <w:r w:rsidRPr="009F3A48">
        <w:rPr>
          <w:rFonts w:ascii="Calibri" w:hAnsi="Calibri"/>
          <w:b/>
          <w:color w:val="00B0F0"/>
          <w:szCs w:val="24"/>
        </w:rPr>
        <w:t>Comment renseigner l’indicateur 1.9.7 ?</w:t>
      </w:r>
    </w:p>
    <w:p w14:paraId="49B3259E" w14:textId="061CB4A3" w:rsidR="00C935B5" w:rsidRDefault="009F3A48" w:rsidP="009F3A48">
      <w:pPr>
        <w:jc w:val="both"/>
        <w:rPr>
          <w:rFonts w:ascii="Calibri" w:hAnsi="Calibri"/>
          <w:szCs w:val="24"/>
        </w:rPr>
      </w:pPr>
      <w:r w:rsidRPr="009F3A48">
        <w:rPr>
          <w:rFonts w:ascii="Calibri" w:hAnsi="Calibri"/>
          <w:szCs w:val="24"/>
        </w:rPr>
        <w:t xml:space="preserve">L'indicateur 1.9.7 vise à recenser les fonctionnaires et contractuels sur emploi permanent ayant bénéficié d'un accompagnement par un conseiller en évolution professionnelle au cours de l'année 2021. En application de </w:t>
      </w:r>
      <w:r w:rsidRPr="00C95BF5">
        <w:rPr>
          <w:rFonts w:ascii="Calibri" w:hAnsi="Calibri"/>
          <w:szCs w:val="24"/>
        </w:rPr>
        <w:t>l’article L421-3 du CGFP</w:t>
      </w:r>
      <w:r w:rsidRPr="009F3A48">
        <w:rPr>
          <w:rFonts w:ascii="Calibri" w:hAnsi="Calibri"/>
          <w:szCs w:val="24"/>
        </w:rPr>
        <w:t>,</w:t>
      </w:r>
      <w:r w:rsidR="00C935B5">
        <w:rPr>
          <w:rFonts w:ascii="Calibri" w:hAnsi="Calibri"/>
          <w:szCs w:val="24"/>
        </w:rPr>
        <w:t xml:space="preserve"> </w:t>
      </w:r>
      <w:r w:rsidR="00C935B5" w:rsidRPr="00C935B5">
        <w:rPr>
          <w:rFonts w:ascii="Calibri" w:hAnsi="Calibri"/>
          <w:szCs w:val="24"/>
        </w:rPr>
        <w:t>"L'agent public peut bénéficier, à sa demande, d'un accompagnement personnalisé destiné à l'aider à élaborer et mettre en œuvre son projet professionnel, notamment dans le cadre du conseil en évolution professionnelle".</w:t>
      </w:r>
    </w:p>
    <w:p w14:paraId="354A9259" w14:textId="77777777" w:rsidR="009F3A48" w:rsidRPr="009F3A48" w:rsidRDefault="009F3A48" w:rsidP="009F3A48">
      <w:pPr>
        <w:jc w:val="both"/>
        <w:rPr>
          <w:rFonts w:ascii="Calibri" w:hAnsi="Calibri"/>
          <w:szCs w:val="24"/>
        </w:rPr>
      </w:pPr>
      <w:r w:rsidRPr="009F3A48">
        <w:rPr>
          <w:rFonts w:ascii="Calibri" w:hAnsi="Calibri"/>
          <w:szCs w:val="24"/>
        </w:rPr>
        <w:t xml:space="preserve">Le conseil en évolution professionnelle vise à aider l'agent à élaborer un projet professionnel et à identifier les différentes actions nécessaires à sa mise en œuvre. Il permet d'éclairer l’agent dans des choix de postes valorisant ses compétences et son potentiel et dans la construction de son parcours professionnel (mobilité interne ou externe au sein de la fonction publique, mobilité dans le secteur privé, formation professionnelle...). </w:t>
      </w:r>
    </w:p>
    <w:p w14:paraId="2AD0F2DD" w14:textId="589513B5" w:rsidR="009F3A48" w:rsidRDefault="009F3A48" w:rsidP="00EA12C7">
      <w:pPr>
        <w:jc w:val="both"/>
        <w:rPr>
          <w:rFonts w:ascii="Calibri" w:hAnsi="Calibri"/>
          <w:szCs w:val="24"/>
        </w:rPr>
      </w:pPr>
      <w:r w:rsidRPr="009F3A48">
        <w:rPr>
          <w:rFonts w:ascii="Calibri" w:hAnsi="Calibri"/>
          <w:szCs w:val="24"/>
        </w:rPr>
        <w:t>Il peut prendre plusieurs formes : entretiens, coaching, bilan de compétences... Aussi, les agents ayant été accompagnés dans le cadre d'une mobilité et ceux ayant bénéficié d'un bilan de compétences doivent être recensés.</w:t>
      </w:r>
    </w:p>
    <w:p w14:paraId="6A21ED2E" w14:textId="77777777" w:rsidR="00EA12C7" w:rsidRPr="00EA12C7" w:rsidRDefault="00EA12C7" w:rsidP="00EA12C7">
      <w:pPr>
        <w:jc w:val="both"/>
        <w:rPr>
          <w:rFonts w:ascii="Calibri" w:hAnsi="Calibri"/>
          <w:szCs w:val="24"/>
        </w:rPr>
      </w:pPr>
    </w:p>
    <w:p w14:paraId="2D01D5FD" w14:textId="77777777" w:rsidR="009F3A48" w:rsidRPr="009F3A48" w:rsidRDefault="009F3A48" w:rsidP="009F3A48">
      <w:pPr>
        <w:overflowPunct/>
        <w:autoSpaceDE/>
        <w:autoSpaceDN/>
        <w:adjustRightInd/>
        <w:textAlignment w:val="auto"/>
        <w:rPr>
          <w:rFonts w:ascii="Calibri" w:eastAsia="Calibri" w:hAnsi="Calibri"/>
          <w:sz w:val="22"/>
          <w:szCs w:val="22"/>
          <w:lang w:eastAsia="en-US"/>
        </w:rPr>
      </w:pPr>
      <w:r w:rsidRPr="009F3A48">
        <w:rPr>
          <w:rFonts w:ascii="Calibri" w:hAnsi="Calibri"/>
          <w:b/>
          <w:color w:val="FF0000"/>
          <w:szCs w:val="24"/>
        </w:rPr>
        <w:t>Nouveauté RSU 2021 :</w:t>
      </w:r>
      <w:r w:rsidRPr="009F3A48">
        <w:rPr>
          <w:rFonts w:ascii="Calibri" w:eastAsia="Calibri" w:hAnsi="Calibri"/>
          <w:sz w:val="22"/>
          <w:szCs w:val="22"/>
          <w:lang w:eastAsia="en-US"/>
        </w:rPr>
        <w:t xml:space="preserve"> </w:t>
      </w:r>
      <w:r w:rsidRPr="009F3A48">
        <w:rPr>
          <w:rFonts w:ascii="Calibri" w:hAnsi="Calibri"/>
          <w:b/>
          <w:color w:val="00B0F0"/>
        </w:rPr>
        <w:t>Comment renseigner le nombre de lauréats sur les listes d’aptitude des concours et examens professionnels ?</w:t>
      </w:r>
      <w:r w:rsidRPr="009F3A48">
        <w:rPr>
          <w:rFonts w:ascii="Calibri" w:eastAsia="Calibri" w:hAnsi="Calibri"/>
          <w:sz w:val="22"/>
          <w:szCs w:val="22"/>
          <w:lang w:eastAsia="en-US"/>
        </w:rPr>
        <w:t xml:space="preserve"> </w:t>
      </w:r>
    </w:p>
    <w:p w14:paraId="3A7B0C40" w14:textId="77777777" w:rsidR="009F3A48" w:rsidRPr="009F3A48" w:rsidRDefault="009F3A48" w:rsidP="009F3A48">
      <w:pPr>
        <w:overflowPunct/>
        <w:autoSpaceDE/>
        <w:autoSpaceDN/>
        <w:adjustRightInd/>
        <w:textAlignment w:val="auto"/>
        <w:rPr>
          <w:rFonts w:ascii="Calibri" w:eastAsia="Calibri" w:hAnsi="Calibri"/>
          <w:sz w:val="22"/>
          <w:szCs w:val="22"/>
          <w:lang w:eastAsia="en-US"/>
        </w:rPr>
      </w:pPr>
      <w:r w:rsidRPr="009F3A48">
        <w:rPr>
          <w:rFonts w:ascii="Calibri" w:hAnsi="Calibri"/>
          <w:i/>
          <w:iCs/>
          <w:color w:val="E36C0A"/>
        </w:rPr>
        <w:t>IND 1.9.8</w:t>
      </w:r>
      <w:r w:rsidRPr="009F3A48">
        <w:rPr>
          <w:rFonts w:ascii="Calibri" w:eastAsia="Calibri" w:hAnsi="Calibri"/>
          <w:sz w:val="22"/>
          <w:szCs w:val="22"/>
          <w:lang w:eastAsia="en-US"/>
        </w:rPr>
        <w:t> </w:t>
      </w:r>
    </w:p>
    <w:p w14:paraId="1D91B5B7" w14:textId="77777777" w:rsidR="009F3A48" w:rsidRPr="009F3A48" w:rsidRDefault="009F3A48" w:rsidP="009F3A48">
      <w:pPr>
        <w:overflowPunct/>
        <w:autoSpaceDE/>
        <w:autoSpaceDN/>
        <w:adjustRightInd/>
        <w:spacing w:after="160" w:line="259" w:lineRule="auto"/>
        <w:jc w:val="both"/>
        <w:textAlignment w:val="auto"/>
        <w:rPr>
          <w:rFonts w:ascii="Calibri" w:eastAsia="Calibri" w:hAnsi="Calibri"/>
          <w:szCs w:val="24"/>
          <w:highlight w:val="yellow"/>
          <w:lang w:eastAsia="en-US"/>
        </w:rPr>
      </w:pPr>
      <w:r w:rsidRPr="009F3A48">
        <w:rPr>
          <w:rFonts w:ascii="Calibri" w:eastAsia="Calibri" w:hAnsi="Calibri"/>
          <w:szCs w:val="24"/>
          <w:lang w:eastAsia="en-US"/>
        </w:rPr>
        <w:t>Chaque concours, qu'il soit externe, interne ou concours réservé dit 3ème concours débouche pour les lauréats à l'inscription sur une liste d'aptitude, de valeur nationale.</w:t>
      </w:r>
    </w:p>
    <w:p w14:paraId="79F4E560" w14:textId="77777777" w:rsidR="009F3A48" w:rsidRPr="009F3A48"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9F3A48">
        <w:rPr>
          <w:rFonts w:ascii="Calibri" w:eastAsia="Calibri" w:hAnsi="Calibri"/>
          <w:szCs w:val="24"/>
          <w:lang w:eastAsia="en-US"/>
        </w:rPr>
        <w:t>Une liste d'aptitude est donc établie à l'issue de chaque concours. Sont inscrits, par ordre alphabétique, sur cette liste, les candidats admis au concours et déclarés aptes par le jury (article L325-38 du CGFP).</w:t>
      </w:r>
    </w:p>
    <w:p w14:paraId="4310810C" w14:textId="77777777" w:rsidR="009F3A48" w:rsidRPr="009F3A48" w:rsidRDefault="009F3A48" w:rsidP="009F3A48">
      <w:pPr>
        <w:overflowPunct/>
        <w:autoSpaceDE/>
        <w:autoSpaceDN/>
        <w:adjustRightInd/>
        <w:spacing w:after="160" w:line="259" w:lineRule="auto"/>
        <w:textAlignment w:val="auto"/>
        <w:rPr>
          <w:rFonts w:ascii="Calibri" w:eastAsia="Calibri" w:hAnsi="Calibri"/>
          <w:szCs w:val="24"/>
          <w:lang w:eastAsia="en-US"/>
        </w:rPr>
      </w:pPr>
      <w:r w:rsidRPr="009F3A48">
        <w:rPr>
          <w:rFonts w:ascii="Calibri" w:eastAsia="Calibri" w:hAnsi="Calibri"/>
          <w:szCs w:val="24"/>
          <w:lang w:eastAsia="en-US"/>
        </w:rPr>
        <w:t>La liste d'aptitude regroupe :</w:t>
      </w:r>
    </w:p>
    <w:p w14:paraId="6B3375DC" w14:textId="77777777" w:rsidR="009F3A48" w:rsidRPr="009F3A48" w:rsidRDefault="009F3A48" w:rsidP="009F3A48">
      <w:pPr>
        <w:overflowPunct/>
        <w:autoSpaceDE/>
        <w:autoSpaceDN/>
        <w:adjustRightInd/>
        <w:spacing w:after="160" w:line="259" w:lineRule="auto"/>
        <w:textAlignment w:val="auto"/>
        <w:rPr>
          <w:rFonts w:ascii="Calibri" w:eastAsia="Calibri" w:hAnsi="Calibri"/>
          <w:szCs w:val="24"/>
          <w:lang w:eastAsia="en-US"/>
        </w:rPr>
      </w:pPr>
      <w:r w:rsidRPr="009F3A48">
        <w:rPr>
          <w:rFonts w:ascii="Calibri" w:eastAsia="Calibri" w:hAnsi="Calibri"/>
          <w:szCs w:val="24"/>
          <w:lang w:eastAsia="en-US"/>
        </w:rPr>
        <w:t>- les lauréats du concours</w:t>
      </w:r>
    </w:p>
    <w:p w14:paraId="303D6438" w14:textId="77777777" w:rsidR="009F3A48" w:rsidRPr="009F3A48" w:rsidRDefault="009F3A48" w:rsidP="009F3A48">
      <w:pPr>
        <w:overflowPunct/>
        <w:autoSpaceDE/>
        <w:autoSpaceDN/>
        <w:adjustRightInd/>
        <w:spacing w:after="160" w:line="259" w:lineRule="auto"/>
        <w:textAlignment w:val="auto"/>
        <w:rPr>
          <w:rFonts w:ascii="Calibri" w:eastAsia="Calibri" w:hAnsi="Calibri"/>
          <w:szCs w:val="24"/>
          <w:highlight w:val="yellow"/>
          <w:lang w:eastAsia="en-US"/>
        </w:rPr>
      </w:pPr>
      <w:r w:rsidRPr="009F3A48">
        <w:rPr>
          <w:rFonts w:ascii="Calibri" w:eastAsia="Calibri" w:hAnsi="Calibri"/>
          <w:szCs w:val="24"/>
          <w:lang w:eastAsia="en-US"/>
        </w:rPr>
        <w:t>- les lauréats des concours précédents qui n'ont pas été nommés stagiaires et qui remplissent encore les conditions d'inscription sur la liste d'aptitude.</w:t>
      </w:r>
    </w:p>
    <w:p w14:paraId="3E3A9661" w14:textId="77777777" w:rsidR="009F3A48" w:rsidRPr="009F3A48"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9F3A48">
        <w:rPr>
          <w:rFonts w:ascii="Calibri" w:eastAsia="Calibri" w:hAnsi="Calibri"/>
          <w:szCs w:val="24"/>
          <w:lang w:eastAsia="en-US"/>
        </w:rPr>
        <w:t xml:space="preserve">La liste d'aptitude permet aux lauréats qui y sont inscrits de postuler </w:t>
      </w:r>
      <w:proofErr w:type="gramStart"/>
      <w:r w:rsidRPr="009F3A48">
        <w:rPr>
          <w:rFonts w:ascii="Calibri" w:eastAsia="Calibri" w:hAnsi="Calibri"/>
          <w:szCs w:val="24"/>
          <w:lang w:eastAsia="en-US"/>
        </w:rPr>
        <w:t>aux</w:t>
      </w:r>
      <w:proofErr w:type="gramEnd"/>
      <w:r w:rsidRPr="009F3A48">
        <w:rPr>
          <w:rFonts w:ascii="Calibri" w:eastAsia="Calibri" w:hAnsi="Calibri"/>
          <w:szCs w:val="24"/>
          <w:lang w:eastAsia="en-US"/>
        </w:rPr>
        <w:t xml:space="preserve"> emplois vacants des collectivités territoriales.</w:t>
      </w:r>
    </w:p>
    <w:p w14:paraId="68A7DF80" w14:textId="77777777" w:rsidR="009F3A48" w:rsidRPr="009F3A48" w:rsidRDefault="009F3A48" w:rsidP="009F3A48">
      <w:pPr>
        <w:overflowPunct/>
        <w:autoSpaceDE/>
        <w:autoSpaceDN/>
        <w:adjustRightInd/>
        <w:spacing w:after="160" w:line="259" w:lineRule="auto"/>
        <w:jc w:val="both"/>
        <w:textAlignment w:val="auto"/>
        <w:rPr>
          <w:rFonts w:ascii="Calibri" w:eastAsia="Calibri" w:hAnsi="Calibri"/>
          <w:szCs w:val="24"/>
          <w:lang w:eastAsia="en-US"/>
        </w:rPr>
      </w:pPr>
      <w:r w:rsidRPr="009F3A48">
        <w:rPr>
          <w:rFonts w:ascii="Calibri" w:eastAsia="Calibri" w:hAnsi="Calibri"/>
          <w:szCs w:val="24"/>
          <w:lang w:eastAsia="en-US"/>
        </w:rPr>
        <w:t xml:space="preserve">Le nombre de lauréats sur les listes d’aptitude des concours et examens professionnels est à renseigner à l’indicateur </w:t>
      </w:r>
      <w:r w:rsidRPr="009F3A48">
        <w:rPr>
          <w:rFonts w:ascii="Calibri" w:eastAsia="Calibri" w:hAnsi="Calibri"/>
          <w:b/>
          <w:bCs/>
          <w:i/>
          <w:iCs/>
          <w:color w:val="ED7D31"/>
          <w:szCs w:val="24"/>
          <w:lang w:eastAsia="en-US"/>
        </w:rPr>
        <w:t>1.9.8</w:t>
      </w:r>
      <w:r w:rsidRPr="009F3A48">
        <w:rPr>
          <w:rFonts w:ascii="Calibri" w:eastAsia="Calibri" w:hAnsi="Calibri"/>
          <w:szCs w:val="24"/>
          <w:lang w:eastAsia="en-US"/>
        </w:rPr>
        <w:t xml:space="preserve"> par filière, par cadre d’emplois et par sexe.</w:t>
      </w:r>
    </w:p>
    <w:p w14:paraId="0B3630A8" w14:textId="77777777" w:rsidR="009F3A48" w:rsidRPr="009F3A48" w:rsidRDefault="009F3A48" w:rsidP="009F3A48">
      <w:pPr>
        <w:overflowPunct/>
        <w:autoSpaceDE/>
        <w:autoSpaceDN/>
        <w:adjustRightInd/>
        <w:jc w:val="both"/>
        <w:textAlignment w:val="auto"/>
        <w:rPr>
          <w:rFonts w:ascii="Calibri" w:eastAsia="Calibri" w:hAnsi="Calibri"/>
          <w:b/>
          <w:bCs/>
          <w:color w:val="FF0000"/>
          <w:sz w:val="22"/>
          <w:szCs w:val="24"/>
        </w:rPr>
      </w:pPr>
      <w:bookmarkStart w:id="10" w:name="_Hlk102634042"/>
    </w:p>
    <w:p w14:paraId="38F559E0" w14:textId="77777777" w:rsidR="009F3A48" w:rsidRPr="009F3A48" w:rsidRDefault="009F3A48" w:rsidP="009F3A48">
      <w:pPr>
        <w:overflowPunct/>
        <w:autoSpaceDE/>
        <w:autoSpaceDN/>
        <w:adjustRightInd/>
        <w:jc w:val="both"/>
        <w:textAlignment w:val="auto"/>
        <w:rPr>
          <w:rFonts w:ascii="Calibri" w:hAnsi="Calibri"/>
          <w:b/>
          <w:color w:val="00B0F0"/>
          <w:szCs w:val="24"/>
        </w:rPr>
      </w:pPr>
      <w:r w:rsidRPr="009F3A48">
        <w:rPr>
          <w:rFonts w:ascii="Calibri" w:eastAsia="Calibri" w:hAnsi="Calibri"/>
          <w:b/>
          <w:bCs/>
          <w:color w:val="FF0000"/>
          <w:szCs w:val="24"/>
        </w:rPr>
        <w:t>Nouveauté RSU 2021 :</w:t>
      </w:r>
      <w:bookmarkEnd w:id="10"/>
      <w:r w:rsidRPr="009F3A48">
        <w:rPr>
          <w:rFonts w:ascii="Calibri" w:eastAsia="Calibri" w:hAnsi="Calibri"/>
          <w:color w:val="FF0000"/>
          <w:szCs w:val="24"/>
        </w:rPr>
        <w:t xml:space="preserve"> </w:t>
      </w:r>
      <w:r w:rsidRPr="009F3A48">
        <w:rPr>
          <w:rFonts w:ascii="Calibri" w:hAnsi="Calibri"/>
          <w:b/>
          <w:color w:val="00B0F0"/>
          <w:szCs w:val="24"/>
        </w:rPr>
        <w:t>Quels sont les fonctionnaires pouvant accéder par la voie du détachement à un cadre d'emplois de niveau supérieur ou de catégorie supérieure ?</w:t>
      </w:r>
    </w:p>
    <w:p w14:paraId="3785ACBC" w14:textId="77777777" w:rsidR="009F3A48" w:rsidRPr="009F3A48" w:rsidRDefault="009F3A48" w:rsidP="009F3A48">
      <w:pPr>
        <w:overflowPunct/>
        <w:autoSpaceDE/>
        <w:autoSpaceDN/>
        <w:adjustRightInd/>
        <w:textAlignment w:val="auto"/>
        <w:rPr>
          <w:rFonts w:ascii="Calibri" w:eastAsia="Calibri" w:hAnsi="Calibri"/>
          <w:szCs w:val="24"/>
          <w:lang w:eastAsia="en-US"/>
        </w:rPr>
      </w:pPr>
      <w:r w:rsidRPr="009F3A48">
        <w:rPr>
          <w:rFonts w:ascii="Calibri" w:eastAsia="Calibri" w:hAnsi="Calibri"/>
          <w:i/>
          <w:iCs/>
          <w:color w:val="E36C0A"/>
          <w:szCs w:val="24"/>
        </w:rPr>
        <w:t>IND 1.9.9</w:t>
      </w:r>
      <w:r w:rsidRPr="009F3A48">
        <w:rPr>
          <w:rFonts w:ascii="Calibri" w:eastAsia="Calibri" w:hAnsi="Calibri"/>
          <w:szCs w:val="24"/>
          <w:lang w:eastAsia="en-US"/>
        </w:rPr>
        <w:t> </w:t>
      </w:r>
    </w:p>
    <w:p w14:paraId="1E407148" w14:textId="77777777" w:rsidR="009F3A48" w:rsidRPr="009F3A48" w:rsidRDefault="009F3A48" w:rsidP="009F3A48">
      <w:pPr>
        <w:overflowPunct/>
        <w:autoSpaceDE/>
        <w:autoSpaceDN/>
        <w:adjustRightInd/>
        <w:jc w:val="both"/>
        <w:textAlignment w:val="auto"/>
        <w:rPr>
          <w:rFonts w:ascii="Calibri" w:eastAsia="Calibri" w:hAnsi="Calibri"/>
          <w:szCs w:val="24"/>
        </w:rPr>
      </w:pPr>
      <w:r w:rsidRPr="009F3A48">
        <w:rPr>
          <w:rFonts w:ascii="Calibri" w:eastAsia="Calibri" w:hAnsi="Calibri"/>
          <w:szCs w:val="24"/>
        </w:rPr>
        <w:t xml:space="preserve">L’article 93 de la loi n° 2019-828 du 6 août 2019 de transformation de la fonction publique crée une voie dérogatoire permettant </w:t>
      </w:r>
      <w:r w:rsidRPr="009F3A48">
        <w:rPr>
          <w:rFonts w:ascii="Calibri" w:eastAsia="Calibri" w:hAnsi="Calibri"/>
          <w:b/>
          <w:bCs/>
          <w:szCs w:val="24"/>
        </w:rPr>
        <w:t>aux fonctionnaires en situation de handicap</w:t>
      </w:r>
      <w:r w:rsidRPr="009F3A48">
        <w:rPr>
          <w:rFonts w:ascii="Calibri" w:eastAsia="Calibri" w:hAnsi="Calibri"/>
          <w:szCs w:val="24"/>
        </w:rPr>
        <w:t xml:space="preserve"> relevant de l’une des catégories mentionnées aux 1°, 2°, 3°, 4°, 9°, 10° et 11° de l'article L. 5212-13 du code du travail, d’accéder à un corps ou cadre d’emplois de niveau supérieur ou de catégorie supérieure par la voie du détachement. </w:t>
      </w:r>
    </w:p>
    <w:p w14:paraId="2946877D" w14:textId="77777777" w:rsidR="009F3A48" w:rsidRPr="009F3A48" w:rsidRDefault="009F3A48" w:rsidP="009F3A48">
      <w:pPr>
        <w:overflowPunct/>
        <w:autoSpaceDE/>
        <w:autoSpaceDN/>
        <w:adjustRightInd/>
        <w:jc w:val="both"/>
        <w:textAlignment w:val="auto"/>
        <w:rPr>
          <w:rFonts w:ascii="Calibri" w:eastAsia="Calibri" w:hAnsi="Calibri"/>
          <w:szCs w:val="24"/>
        </w:rPr>
      </w:pPr>
    </w:p>
    <w:p w14:paraId="11C87FF5" w14:textId="77777777" w:rsidR="009F3A48" w:rsidRPr="009F3A48" w:rsidRDefault="009F3A48" w:rsidP="009F3A48">
      <w:pPr>
        <w:overflowPunct/>
        <w:autoSpaceDE/>
        <w:autoSpaceDN/>
        <w:adjustRightInd/>
        <w:jc w:val="both"/>
        <w:textAlignment w:val="auto"/>
        <w:rPr>
          <w:rFonts w:ascii="Calibri" w:eastAsia="Calibri" w:hAnsi="Calibri"/>
          <w:szCs w:val="24"/>
        </w:rPr>
      </w:pPr>
      <w:r w:rsidRPr="009F3A48">
        <w:rPr>
          <w:rFonts w:ascii="Calibri" w:eastAsia="Calibri" w:hAnsi="Calibri"/>
          <w:szCs w:val="24"/>
        </w:rPr>
        <w:t>La loi prévoit que le dispositif n’est accessible qu’aux fonctionnaires ayant préalablement accompli une certaine durée de services publics. Elle précise que, à l’issue d’une période de détachement qui peut être renouvelée, le fonctionnaire peut être intégré dans le corps ou cadre d’emplois, et qu’une commission se prononce sur son aptitude professionnelle à exercer les missions dévolues à ce corps ou cadre d’emplois.</w:t>
      </w:r>
    </w:p>
    <w:p w14:paraId="53E1A0A9" w14:textId="77777777" w:rsidR="009F3A48" w:rsidRPr="009F3A48" w:rsidRDefault="009F3A48" w:rsidP="009F3A48">
      <w:pPr>
        <w:overflowPunct/>
        <w:autoSpaceDE/>
        <w:autoSpaceDN/>
        <w:adjustRightInd/>
        <w:textAlignment w:val="auto"/>
        <w:rPr>
          <w:rFonts w:ascii="Calibri" w:eastAsia="Calibri" w:hAnsi="Calibri"/>
          <w:szCs w:val="24"/>
        </w:rPr>
      </w:pPr>
    </w:p>
    <w:p w14:paraId="11DD5840" w14:textId="39AE25DD" w:rsidR="009F3A48" w:rsidRDefault="009F3A48" w:rsidP="009F3A48">
      <w:pPr>
        <w:overflowPunct/>
        <w:autoSpaceDE/>
        <w:autoSpaceDN/>
        <w:adjustRightInd/>
        <w:spacing w:after="160" w:line="259" w:lineRule="auto"/>
        <w:textAlignment w:val="auto"/>
        <w:rPr>
          <w:rFonts w:ascii="Calibri" w:eastAsia="Calibri" w:hAnsi="Calibri"/>
          <w:szCs w:val="24"/>
          <w:lang w:eastAsia="en-US"/>
        </w:rPr>
      </w:pPr>
      <w:r w:rsidRPr="009F3A48">
        <w:rPr>
          <w:rFonts w:ascii="Calibri" w:eastAsia="Calibri" w:hAnsi="Calibri"/>
          <w:szCs w:val="24"/>
          <w:lang w:eastAsia="en-US"/>
        </w:rPr>
        <w:t>Le décret n° 2020-569 du 13 mai 2020 précise les modalités de ce dispositif.</w:t>
      </w:r>
    </w:p>
    <w:p w14:paraId="68EF6693" w14:textId="5C073346" w:rsidR="009F3A48" w:rsidRDefault="009F3A48" w:rsidP="009F3A48">
      <w:pPr>
        <w:overflowPunct/>
        <w:autoSpaceDE/>
        <w:autoSpaceDN/>
        <w:adjustRightInd/>
        <w:spacing w:after="160" w:line="259" w:lineRule="auto"/>
        <w:textAlignment w:val="auto"/>
        <w:rPr>
          <w:rFonts w:ascii="Calibri" w:eastAsia="Calibri" w:hAnsi="Calibri"/>
          <w:szCs w:val="24"/>
          <w:lang w:eastAsia="en-US"/>
        </w:rPr>
      </w:pPr>
    </w:p>
    <w:p w14:paraId="1B46E889" w14:textId="7FD23510" w:rsidR="009F3A48" w:rsidRDefault="009F3A48" w:rsidP="009F3A48">
      <w:pPr>
        <w:overflowPunct/>
        <w:autoSpaceDE/>
        <w:autoSpaceDN/>
        <w:adjustRightInd/>
        <w:spacing w:after="160" w:line="259" w:lineRule="auto"/>
        <w:textAlignment w:val="auto"/>
        <w:rPr>
          <w:rFonts w:ascii="Calibri" w:eastAsia="Calibri" w:hAnsi="Calibri"/>
          <w:szCs w:val="24"/>
          <w:lang w:eastAsia="en-US"/>
        </w:rPr>
      </w:pPr>
    </w:p>
    <w:p w14:paraId="3E4AA225" w14:textId="0F223588" w:rsidR="009F3A48" w:rsidRDefault="009F3A48" w:rsidP="009F3A48">
      <w:pPr>
        <w:overflowPunct/>
        <w:autoSpaceDE/>
        <w:autoSpaceDN/>
        <w:adjustRightInd/>
        <w:spacing w:after="160" w:line="259" w:lineRule="auto"/>
        <w:textAlignment w:val="auto"/>
        <w:rPr>
          <w:rFonts w:ascii="Calibri" w:eastAsia="Calibri" w:hAnsi="Calibri"/>
          <w:szCs w:val="24"/>
          <w:lang w:eastAsia="en-US"/>
        </w:rPr>
      </w:pPr>
    </w:p>
    <w:p w14:paraId="2E6C5369" w14:textId="4E694B9F" w:rsidR="009F3A48" w:rsidRDefault="009F3A48" w:rsidP="009F3A48">
      <w:pPr>
        <w:overflowPunct/>
        <w:autoSpaceDE/>
        <w:autoSpaceDN/>
        <w:adjustRightInd/>
        <w:spacing w:after="160" w:line="259" w:lineRule="auto"/>
        <w:textAlignment w:val="auto"/>
        <w:rPr>
          <w:rFonts w:ascii="Calibri" w:eastAsia="Calibri" w:hAnsi="Calibri"/>
          <w:szCs w:val="24"/>
          <w:lang w:eastAsia="en-US"/>
        </w:rPr>
      </w:pPr>
    </w:p>
    <w:p w14:paraId="3886E6D5" w14:textId="77777777" w:rsidR="00C95BF5" w:rsidRDefault="00C95BF5" w:rsidP="009F3A48">
      <w:pPr>
        <w:overflowPunct/>
        <w:autoSpaceDE/>
        <w:autoSpaceDN/>
        <w:adjustRightInd/>
        <w:spacing w:after="160" w:line="259" w:lineRule="auto"/>
        <w:textAlignment w:val="auto"/>
        <w:rPr>
          <w:rFonts w:ascii="Calibri" w:eastAsia="Calibri" w:hAnsi="Calibri"/>
          <w:szCs w:val="24"/>
          <w:lang w:eastAsia="en-US"/>
        </w:rPr>
      </w:pPr>
    </w:p>
    <w:p w14:paraId="48AB1A36" w14:textId="77777777" w:rsidR="004F3CA7" w:rsidRDefault="004F3CA7">
      <w:pPr>
        <w:overflowPunct/>
        <w:autoSpaceDE/>
        <w:autoSpaceDN/>
        <w:adjustRightInd/>
        <w:textAlignment w:val="auto"/>
        <w:rPr>
          <w:rFonts w:eastAsiaTheme="majorEastAsia" w:cstheme="majorBidi"/>
          <w:b/>
          <w:bCs/>
          <w:color w:val="00B050"/>
          <w:sz w:val="32"/>
          <w:szCs w:val="28"/>
          <w:u w:val="single"/>
        </w:rPr>
      </w:pPr>
      <w:bookmarkStart w:id="11" w:name="_Toc104276126"/>
      <w:bookmarkStart w:id="12" w:name="_Toc76029649"/>
      <w:bookmarkEnd w:id="4"/>
      <w:r>
        <w:br w:type="page"/>
      </w:r>
    </w:p>
    <w:p w14:paraId="1490EDAF" w14:textId="16C96EC4" w:rsidR="00BD228F" w:rsidRPr="0042712C" w:rsidRDefault="00BD228F" w:rsidP="00BD228F">
      <w:pPr>
        <w:pStyle w:val="Titre1"/>
      </w:pPr>
      <w:r w:rsidRPr="00563D72">
        <w:lastRenderedPageBreak/>
        <w:t>O</w:t>
      </w:r>
      <w:r w:rsidR="003273AB" w:rsidRPr="00563D72">
        <w:t xml:space="preserve">rganisation du </w:t>
      </w:r>
      <w:r w:rsidR="003273AB">
        <w:t>travail</w:t>
      </w:r>
      <w:bookmarkEnd w:id="11"/>
    </w:p>
    <w:p w14:paraId="16FB02AE" w14:textId="77777777" w:rsidR="00BD228F" w:rsidRDefault="00BD228F" w:rsidP="00BD228F">
      <w:pPr>
        <w:jc w:val="both"/>
        <w:rPr>
          <w:color w:val="000000"/>
          <w:szCs w:val="24"/>
          <w:u w:val="single"/>
        </w:rPr>
      </w:pPr>
    </w:p>
    <w:p w14:paraId="36A29837" w14:textId="77777777" w:rsidR="00BD228F" w:rsidRPr="000841E2" w:rsidRDefault="00BD228F" w:rsidP="00BD228F">
      <w:pPr>
        <w:jc w:val="both"/>
        <w:rPr>
          <w:rFonts w:cs="Arial"/>
          <w:b/>
          <w:color w:val="00B0F0"/>
          <w:szCs w:val="24"/>
        </w:rPr>
      </w:pPr>
      <w:r w:rsidRPr="000841E2">
        <w:rPr>
          <w:rFonts w:cs="Arial"/>
          <w:b/>
          <w:color w:val="00B0F0"/>
          <w:szCs w:val="24"/>
        </w:rPr>
        <w:t>A quoi correspondent les « droits acquis » à renseigner pour le nombre de jours accordés aux agents ?</w:t>
      </w:r>
    </w:p>
    <w:p w14:paraId="16B64901" w14:textId="77777777" w:rsidR="00BD228F" w:rsidRPr="000841E2" w:rsidRDefault="00BD228F" w:rsidP="00BD228F">
      <w:pPr>
        <w:jc w:val="both"/>
        <w:rPr>
          <w:rFonts w:cs="Arial"/>
          <w:i/>
          <w:color w:val="E36C0A" w:themeColor="accent6" w:themeShade="BF"/>
          <w:szCs w:val="24"/>
        </w:rPr>
      </w:pPr>
      <w:r w:rsidRPr="000841E2">
        <w:rPr>
          <w:rFonts w:cs="Arial"/>
          <w:i/>
          <w:color w:val="E36C0A" w:themeColor="accent6" w:themeShade="BF"/>
          <w:szCs w:val="24"/>
        </w:rPr>
        <w:t>Indicateur 2.1.0</w:t>
      </w:r>
    </w:p>
    <w:p w14:paraId="6A1B68BA" w14:textId="77777777" w:rsidR="00BD228F" w:rsidRDefault="00BD228F" w:rsidP="00BD228F">
      <w:pPr>
        <w:jc w:val="both"/>
        <w:rPr>
          <w:iCs/>
          <w:color w:val="000000"/>
          <w:szCs w:val="24"/>
        </w:rPr>
      </w:pPr>
      <w:r w:rsidRPr="000841E2">
        <w:rPr>
          <w:iCs/>
          <w:color w:val="000000"/>
          <w:szCs w:val="24"/>
        </w:rPr>
        <w:t>L’article 7-1 de la loi du 26 janvier 1984 permet</w:t>
      </w:r>
      <w:r>
        <w:rPr>
          <w:iCs/>
          <w:color w:val="000000"/>
          <w:szCs w:val="24"/>
        </w:rPr>
        <w:t>tait</w:t>
      </w:r>
      <w:r w:rsidRPr="000841E2">
        <w:rPr>
          <w:iCs/>
          <w:color w:val="000000"/>
          <w:szCs w:val="24"/>
        </w:rPr>
        <w:t xml:space="preserve"> de conserver les régimes de travail mis en place antérieurement à l’entrée en vigueur de la loi n°2001-2 du 3 janvier 2001. Il s’agit ici des jours chômés par les agents conservés dans ce cadre. Le maintien de cette dérogation suppos</w:t>
      </w:r>
      <w:r>
        <w:rPr>
          <w:iCs/>
          <w:color w:val="000000"/>
          <w:szCs w:val="24"/>
        </w:rPr>
        <w:t>ait</w:t>
      </w:r>
      <w:r w:rsidRPr="000841E2">
        <w:rPr>
          <w:iCs/>
          <w:color w:val="000000"/>
          <w:szCs w:val="24"/>
        </w:rPr>
        <w:t xml:space="preserve"> toutefois l’existence d’une délibération expresse de la collectivité.</w:t>
      </w:r>
    </w:p>
    <w:p w14:paraId="388D9EB5" w14:textId="77777777" w:rsidR="00BD228F" w:rsidRPr="00BA1791" w:rsidRDefault="00BD228F" w:rsidP="00BD228F">
      <w:pPr>
        <w:jc w:val="both"/>
        <w:rPr>
          <w:iCs/>
          <w:color w:val="000000"/>
          <w:szCs w:val="24"/>
        </w:rPr>
      </w:pPr>
      <w:r>
        <w:rPr>
          <w:iCs/>
          <w:color w:val="000000"/>
          <w:szCs w:val="24"/>
        </w:rPr>
        <w:t>La loi de transformation de la fonction publique du 6 août 2019 (article 47) a mis fin à cette dérogation. Les collectivités disposent d’un délai d’un an à compter du renouvellement de chacune des assemblées délibérantes, soit au plus tard en juin 2021 pour le bloc communal, en mars 2022 pour les départements et en décembre 2022 pour les régions.</w:t>
      </w:r>
    </w:p>
    <w:p w14:paraId="2C0E5840" w14:textId="77777777" w:rsidR="00BD228F" w:rsidRPr="004D537C" w:rsidRDefault="00BD228F" w:rsidP="00BD228F">
      <w:pPr>
        <w:jc w:val="both"/>
        <w:rPr>
          <w:color w:val="000000"/>
          <w:szCs w:val="24"/>
          <w:u w:val="single"/>
        </w:rPr>
      </w:pPr>
    </w:p>
    <w:p w14:paraId="3D5C6891" w14:textId="77777777" w:rsidR="00BD228F" w:rsidRPr="004D537C" w:rsidRDefault="00BD228F" w:rsidP="00BD228F">
      <w:pPr>
        <w:jc w:val="both"/>
        <w:rPr>
          <w:rFonts w:cs="Arial"/>
          <w:b/>
          <w:color w:val="00B0F0"/>
          <w:szCs w:val="24"/>
        </w:rPr>
      </w:pPr>
      <w:r w:rsidRPr="00003331">
        <w:rPr>
          <w:rFonts w:cs="Arial"/>
          <w:b/>
          <w:color w:val="00B0F0"/>
          <w:szCs w:val="24"/>
        </w:rPr>
        <w:t xml:space="preserve">Quelles sont les absences à recenser dans </w:t>
      </w:r>
      <w:r>
        <w:rPr>
          <w:rFonts w:cs="Arial"/>
          <w:i/>
          <w:color w:val="E36C0A" w:themeColor="accent6" w:themeShade="BF"/>
          <w:szCs w:val="24"/>
        </w:rPr>
        <w:t>les indicateurs</w:t>
      </w:r>
      <w:r w:rsidRPr="00A65814">
        <w:rPr>
          <w:rFonts w:cs="Arial"/>
          <w:i/>
          <w:color w:val="E36C0A" w:themeColor="accent6" w:themeShade="BF"/>
          <w:szCs w:val="24"/>
        </w:rPr>
        <w:t xml:space="preserve"> 2.1.1 </w:t>
      </w:r>
      <w:r>
        <w:rPr>
          <w:rFonts w:cs="Arial"/>
          <w:i/>
          <w:color w:val="E36C0A" w:themeColor="accent6" w:themeShade="BF"/>
          <w:szCs w:val="24"/>
        </w:rPr>
        <w:t>/ 2.1.2 / 2.1.3 </w:t>
      </w:r>
      <w:r w:rsidRPr="00003331">
        <w:rPr>
          <w:rFonts w:cs="Arial"/>
          <w:b/>
          <w:color w:val="00B0F0"/>
          <w:szCs w:val="24"/>
        </w:rPr>
        <w:t>?</w:t>
      </w:r>
    </w:p>
    <w:p w14:paraId="1D2449EF" w14:textId="77777777" w:rsidR="00BD228F" w:rsidRDefault="00BD228F" w:rsidP="00BD228F">
      <w:pPr>
        <w:jc w:val="both"/>
        <w:rPr>
          <w:color w:val="000000"/>
          <w:szCs w:val="24"/>
        </w:rPr>
      </w:pPr>
      <w:r w:rsidRPr="00AB15BC">
        <w:rPr>
          <w:color w:val="000000"/>
          <w:szCs w:val="24"/>
        </w:rPr>
        <w:t>Doivent être pris</w:t>
      </w:r>
      <w:r>
        <w:rPr>
          <w:color w:val="000000"/>
          <w:szCs w:val="24"/>
        </w:rPr>
        <w:t>es</w:t>
      </w:r>
      <w:r w:rsidRPr="00AB15BC">
        <w:rPr>
          <w:color w:val="000000"/>
          <w:szCs w:val="24"/>
        </w:rPr>
        <w:t xml:space="preserve"> en compte les absences recensées </w:t>
      </w:r>
      <w:r>
        <w:rPr>
          <w:color w:val="000000"/>
          <w:szCs w:val="24"/>
        </w:rPr>
        <w:t>des agents présents au 31.12.2021</w:t>
      </w:r>
      <w:r w:rsidRPr="00AB15BC">
        <w:rPr>
          <w:color w:val="000000"/>
          <w:szCs w:val="24"/>
        </w:rPr>
        <w:t>.</w:t>
      </w:r>
    </w:p>
    <w:p w14:paraId="143525B3" w14:textId="77777777" w:rsidR="00BD228F" w:rsidRDefault="00BD228F" w:rsidP="00BD228F">
      <w:pPr>
        <w:jc w:val="both"/>
        <w:rPr>
          <w:color w:val="000000"/>
          <w:szCs w:val="24"/>
          <w:u w:val="single"/>
        </w:rPr>
      </w:pPr>
    </w:p>
    <w:p w14:paraId="55F40FA1" w14:textId="77777777" w:rsidR="00BD228F" w:rsidRDefault="00BD228F" w:rsidP="00BD228F">
      <w:pPr>
        <w:jc w:val="both"/>
        <w:rPr>
          <w:color w:val="000000"/>
          <w:szCs w:val="24"/>
          <w:u w:val="single"/>
        </w:rPr>
      </w:pPr>
      <w:r w:rsidRPr="00265FB6">
        <w:rPr>
          <w:rFonts w:cs="Arial"/>
          <w:b/>
          <w:color w:val="00B0F0"/>
          <w:szCs w:val="24"/>
        </w:rPr>
        <w:t>Comment comptabiliser les arrêts à cheval sur l’année 2020 et 2021 ?</w:t>
      </w:r>
    </w:p>
    <w:p w14:paraId="0F0877E5" w14:textId="77777777" w:rsidR="00BD228F" w:rsidRPr="00265FB6" w:rsidRDefault="00BD228F" w:rsidP="00BD228F">
      <w:pPr>
        <w:jc w:val="both"/>
        <w:rPr>
          <w:rFonts w:cs="Arial"/>
          <w:i/>
          <w:color w:val="E36C0A" w:themeColor="accent6" w:themeShade="BF"/>
          <w:szCs w:val="24"/>
        </w:rPr>
      </w:pPr>
      <w:r w:rsidRPr="00265FB6">
        <w:rPr>
          <w:rFonts w:cs="Arial"/>
          <w:i/>
          <w:color w:val="E36C0A" w:themeColor="accent6" w:themeShade="BF"/>
          <w:szCs w:val="24"/>
        </w:rPr>
        <w:t>Indicateurs 2.1.1.1, 2.1.2.1, 2.1.3.1</w:t>
      </w:r>
    </w:p>
    <w:p w14:paraId="52EC4EF4" w14:textId="77777777" w:rsidR="00BD228F" w:rsidRDefault="00BD228F" w:rsidP="00BD228F">
      <w:pPr>
        <w:jc w:val="both"/>
        <w:rPr>
          <w:iCs/>
          <w:color w:val="000000"/>
          <w:szCs w:val="24"/>
        </w:rPr>
      </w:pPr>
      <w:r w:rsidRPr="00265FB6">
        <w:rPr>
          <w:iCs/>
          <w:color w:val="000000"/>
          <w:szCs w:val="24"/>
        </w:rPr>
        <w:t>S’il y a eu un arrêt de travail d’un agent en décembre 2020 qui a duré jusqu’en janvier 2021, il faut en tenir compte pour le nombre de journées d’absence. Dans ce cas, il faut comptabiliser les jours d’arrêt de travail de janvier 20</w:t>
      </w:r>
      <w:r>
        <w:rPr>
          <w:iCs/>
          <w:color w:val="000000"/>
          <w:szCs w:val="24"/>
        </w:rPr>
        <w:t>21</w:t>
      </w:r>
      <w:r w:rsidRPr="00265FB6">
        <w:rPr>
          <w:iCs/>
          <w:color w:val="000000"/>
          <w:szCs w:val="24"/>
        </w:rPr>
        <w:t xml:space="preserve">. </w:t>
      </w:r>
    </w:p>
    <w:p w14:paraId="4E9DBA69" w14:textId="77777777" w:rsidR="00BD228F" w:rsidRPr="00265FB6" w:rsidRDefault="00BD228F" w:rsidP="00BD228F">
      <w:pPr>
        <w:jc w:val="both"/>
        <w:rPr>
          <w:iCs/>
          <w:color w:val="000000"/>
          <w:szCs w:val="24"/>
        </w:rPr>
      </w:pPr>
      <w:r w:rsidRPr="00265FB6">
        <w:rPr>
          <w:iCs/>
          <w:color w:val="000000"/>
          <w:szCs w:val="24"/>
        </w:rPr>
        <w:t xml:space="preserve">Exemple : </w:t>
      </w:r>
      <w:proofErr w:type="gramStart"/>
      <w:r>
        <w:rPr>
          <w:iCs/>
          <w:color w:val="000000"/>
          <w:szCs w:val="24"/>
        </w:rPr>
        <w:t>S</w:t>
      </w:r>
      <w:r w:rsidRPr="00265FB6">
        <w:rPr>
          <w:iCs/>
          <w:color w:val="000000"/>
          <w:szCs w:val="24"/>
        </w:rPr>
        <w:t>uite à un</w:t>
      </w:r>
      <w:proofErr w:type="gramEnd"/>
      <w:r w:rsidRPr="00265FB6">
        <w:rPr>
          <w:iCs/>
          <w:color w:val="000000"/>
          <w:szCs w:val="24"/>
        </w:rPr>
        <w:t xml:space="preserve"> accident du travail, un agent a été arrêté du 15 décembre 20</w:t>
      </w:r>
      <w:r>
        <w:rPr>
          <w:iCs/>
          <w:color w:val="000000"/>
          <w:szCs w:val="24"/>
        </w:rPr>
        <w:t>20</w:t>
      </w:r>
      <w:r w:rsidRPr="00265FB6">
        <w:rPr>
          <w:iCs/>
          <w:color w:val="000000"/>
          <w:szCs w:val="24"/>
        </w:rPr>
        <w:t xml:space="preserve"> au 2 janvier 20</w:t>
      </w:r>
      <w:r>
        <w:rPr>
          <w:iCs/>
          <w:color w:val="000000"/>
          <w:szCs w:val="24"/>
        </w:rPr>
        <w:t>2</w:t>
      </w:r>
      <w:r w:rsidRPr="00265FB6">
        <w:rPr>
          <w:iCs/>
          <w:color w:val="000000"/>
          <w:szCs w:val="24"/>
        </w:rPr>
        <w:t xml:space="preserve">1. Il faut alors comptabiliser deux jours. </w:t>
      </w:r>
      <w:r>
        <w:rPr>
          <w:iCs/>
          <w:color w:val="000000"/>
          <w:szCs w:val="24"/>
        </w:rPr>
        <w:t xml:space="preserve">En revanche, </w:t>
      </w:r>
      <w:r w:rsidRPr="00265FB6">
        <w:rPr>
          <w:iCs/>
          <w:color w:val="000000"/>
          <w:szCs w:val="24"/>
        </w:rPr>
        <w:t>il ne faut pas compt</w:t>
      </w:r>
      <w:r>
        <w:rPr>
          <w:iCs/>
          <w:color w:val="000000"/>
          <w:szCs w:val="24"/>
        </w:rPr>
        <w:t xml:space="preserve">abiliser </w:t>
      </w:r>
      <w:r w:rsidRPr="00265FB6">
        <w:rPr>
          <w:iCs/>
          <w:color w:val="000000"/>
          <w:szCs w:val="24"/>
        </w:rPr>
        <w:t>cet arrêt puisqu’il a eu lieu en 20</w:t>
      </w:r>
      <w:r>
        <w:rPr>
          <w:iCs/>
          <w:color w:val="000000"/>
          <w:szCs w:val="24"/>
        </w:rPr>
        <w:t>20</w:t>
      </w:r>
      <w:r w:rsidRPr="00265FB6">
        <w:rPr>
          <w:iCs/>
          <w:color w:val="000000"/>
          <w:szCs w:val="24"/>
        </w:rPr>
        <w:t>. "</w:t>
      </w:r>
    </w:p>
    <w:p w14:paraId="14052AD5" w14:textId="77777777" w:rsidR="00BD228F" w:rsidRPr="00265FB6" w:rsidRDefault="00BD228F" w:rsidP="00BD228F">
      <w:pPr>
        <w:jc w:val="both"/>
        <w:rPr>
          <w:iCs/>
          <w:color w:val="000000"/>
          <w:szCs w:val="24"/>
        </w:rPr>
      </w:pPr>
    </w:p>
    <w:p w14:paraId="2548FB4E" w14:textId="77777777" w:rsidR="00BD228F" w:rsidRPr="00265FB6" w:rsidRDefault="00BD228F" w:rsidP="00BD228F">
      <w:pPr>
        <w:jc w:val="both"/>
        <w:rPr>
          <w:iCs/>
          <w:color w:val="000000"/>
          <w:szCs w:val="24"/>
        </w:rPr>
      </w:pPr>
      <w:r w:rsidRPr="00265FB6">
        <w:rPr>
          <w:iCs/>
          <w:color w:val="000000"/>
          <w:szCs w:val="24"/>
        </w:rPr>
        <w:t>Aussi, en cas de prolongation d'un arrêt intervenu l'année précédente, il convient bien de comptabiliser le nombre de jours d'absence et le fait que l'agent a bien été absent dans l'année mais pas son arrêt puisqu'on estime qu'il a été comptabilisé l'année précédente.</w:t>
      </w:r>
    </w:p>
    <w:p w14:paraId="7BDDB593" w14:textId="77777777" w:rsidR="00BD228F" w:rsidRPr="00265FB6" w:rsidRDefault="00BD228F" w:rsidP="00BD228F">
      <w:pPr>
        <w:jc w:val="both"/>
        <w:rPr>
          <w:iCs/>
          <w:color w:val="000000"/>
          <w:szCs w:val="24"/>
        </w:rPr>
      </w:pPr>
    </w:p>
    <w:p w14:paraId="038BCB3B" w14:textId="77777777" w:rsidR="00BD228F" w:rsidRPr="00265FB6" w:rsidRDefault="00BD228F" w:rsidP="00BD228F">
      <w:pPr>
        <w:jc w:val="both"/>
        <w:rPr>
          <w:iCs/>
          <w:color w:val="000000"/>
          <w:szCs w:val="24"/>
        </w:rPr>
      </w:pPr>
      <w:r>
        <w:rPr>
          <w:iCs/>
          <w:color w:val="000000"/>
          <w:szCs w:val="24"/>
        </w:rPr>
        <w:t>C</w:t>
      </w:r>
      <w:r w:rsidRPr="00265FB6">
        <w:rPr>
          <w:iCs/>
          <w:color w:val="000000"/>
          <w:szCs w:val="24"/>
        </w:rPr>
        <w:t>onstitue une prolongation un arrêt consécutif à un arrêt initial sans reprise du travail ou un nouvel arrêt pour lequel le médecin prescripteur a coché la case prolongation et qui n'a pas donné lieu à une reprise de plus de 48h00.</w:t>
      </w:r>
    </w:p>
    <w:p w14:paraId="25004F9B" w14:textId="77777777" w:rsidR="00BD228F" w:rsidRDefault="00BD228F" w:rsidP="00BD228F">
      <w:pPr>
        <w:pStyle w:val="Textebrut"/>
      </w:pPr>
    </w:p>
    <w:p w14:paraId="1A9F8490" w14:textId="77777777" w:rsidR="00BD228F" w:rsidRDefault="00BD228F" w:rsidP="00BD228F">
      <w:pPr>
        <w:jc w:val="both"/>
        <w:rPr>
          <w:color w:val="000000"/>
          <w:szCs w:val="24"/>
          <w:u w:val="single"/>
        </w:rPr>
      </w:pPr>
    </w:p>
    <w:p w14:paraId="74AD54F6" w14:textId="77777777" w:rsidR="00BD228F" w:rsidRPr="0076426C" w:rsidRDefault="00BD228F" w:rsidP="00BD228F">
      <w:pPr>
        <w:jc w:val="both"/>
        <w:rPr>
          <w:b/>
          <w:color w:val="00B0F0"/>
          <w:szCs w:val="24"/>
        </w:rPr>
      </w:pPr>
      <w:r w:rsidRPr="0076426C">
        <w:rPr>
          <w:b/>
          <w:color w:val="00B0F0"/>
          <w:szCs w:val="24"/>
        </w:rPr>
        <w:t xml:space="preserve">Dois-je comptabiliser les absences des agents partis au cours de l’année </w:t>
      </w:r>
      <w:r>
        <w:rPr>
          <w:b/>
          <w:color w:val="00B0F0"/>
          <w:szCs w:val="24"/>
        </w:rPr>
        <w:t>2021</w:t>
      </w:r>
      <w:r w:rsidRPr="0076426C">
        <w:rPr>
          <w:b/>
          <w:color w:val="00B0F0"/>
          <w:szCs w:val="24"/>
        </w:rPr>
        <w:t> ?</w:t>
      </w:r>
    </w:p>
    <w:p w14:paraId="38A15A9A" w14:textId="77777777" w:rsidR="00BD228F" w:rsidRPr="001519DF" w:rsidRDefault="00BD228F" w:rsidP="00BD228F">
      <w:pPr>
        <w:jc w:val="both"/>
        <w:rPr>
          <w:i/>
          <w:color w:val="E36C0A" w:themeColor="accent6" w:themeShade="BF"/>
          <w:szCs w:val="24"/>
        </w:rPr>
      </w:pPr>
      <w:r w:rsidRPr="002D1235">
        <w:rPr>
          <w:i/>
          <w:color w:val="E36C0A" w:themeColor="accent6" w:themeShade="BF"/>
          <w:szCs w:val="24"/>
        </w:rPr>
        <w:t>Indicateurs 2.1.1 / 2.1.2 / 2.1.3</w:t>
      </w:r>
    </w:p>
    <w:p w14:paraId="211D9BE4" w14:textId="77777777" w:rsidR="00BD228F" w:rsidRPr="001519DF" w:rsidRDefault="00BD228F" w:rsidP="00BD228F">
      <w:pPr>
        <w:jc w:val="both"/>
        <w:rPr>
          <w:color w:val="000000"/>
          <w:szCs w:val="24"/>
        </w:rPr>
      </w:pPr>
      <w:r w:rsidRPr="001519DF">
        <w:rPr>
          <w:color w:val="000000"/>
          <w:szCs w:val="24"/>
        </w:rPr>
        <w:t>Non.</w:t>
      </w:r>
      <w:r>
        <w:rPr>
          <w:color w:val="000000"/>
          <w:szCs w:val="24"/>
        </w:rPr>
        <w:t xml:space="preserve"> Seules les absences des agents présents au 31.12.2021 sont à comptabiliser.</w:t>
      </w:r>
    </w:p>
    <w:p w14:paraId="07F23A6C" w14:textId="77777777" w:rsidR="00BD228F" w:rsidRPr="00AB15BC" w:rsidRDefault="00BD228F" w:rsidP="00BD228F">
      <w:pPr>
        <w:jc w:val="both"/>
        <w:rPr>
          <w:color w:val="000000"/>
          <w:szCs w:val="24"/>
          <w:u w:val="single"/>
        </w:rPr>
      </w:pPr>
    </w:p>
    <w:p w14:paraId="72B7E45F" w14:textId="77777777" w:rsidR="00BD228F" w:rsidRDefault="00BD228F" w:rsidP="00BD228F">
      <w:pPr>
        <w:jc w:val="both"/>
        <w:rPr>
          <w:rFonts w:cs="Arial"/>
          <w:b/>
          <w:color w:val="00B0F0"/>
          <w:szCs w:val="24"/>
        </w:rPr>
      </w:pPr>
      <w:r w:rsidRPr="00337722">
        <w:rPr>
          <w:rFonts w:cs="Arial"/>
          <w:b/>
          <w:color w:val="00B0F0"/>
          <w:szCs w:val="24"/>
        </w:rPr>
        <w:t>Concernant les couches pathologiques comment dois-je renseigner les absences pour les titulaires / contractuels : en maladie ordinaire ou en maternité ?</w:t>
      </w:r>
    </w:p>
    <w:p w14:paraId="13C117FC" w14:textId="77777777" w:rsidR="00BD228F" w:rsidRDefault="00BD228F" w:rsidP="00BD228F">
      <w:pPr>
        <w:jc w:val="both"/>
        <w:rPr>
          <w:rFonts w:cs="Arial"/>
          <w:i/>
          <w:color w:val="E36C0A" w:themeColor="accent6" w:themeShade="BF"/>
          <w:szCs w:val="24"/>
        </w:rPr>
      </w:pPr>
      <w:r>
        <w:rPr>
          <w:rFonts w:cs="Arial"/>
          <w:i/>
          <w:color w:val="E36C0A" w:themeColor="accent6" w:themeShade="BF"/>
          <w:szCs w:val="24"/>
        </w:rPr>
        <w:t>Indicateurs</w:t>
      </w:r>
      <w:r w:rsidRPr="00A65814">
        <w:rPr>
          <w:rFonts w:cs="Arial"/>
          <w:i/>
          <w:color w:val="E36C0A" w:themeColor="accent6" w:themeShade="BF"/>
          <w:szCs w:val="24"/>
        </w:rPr>
        <w:t xml:space="preserve"> 2.1.1 </w:t>
      </w:r>
      <w:r>
        <w:rPr>
          <w:rFonts w:cs="Arial"/>
          <w:i/>
          <w:color w:val="E36C0A" w:themeColor="accent6" w:themeShade="BF"/>
          <w:szCs w:val="24"/>
        </w:rPr>
        <w:t>/ 2.1.2 / 2.1.3</w:t>
      </w:r>
    </w:p>
    <w:p w14:paraId="71C1E19B" w14:textId="77777777" w:rsidR="00BD228F" w:rsidRPr="00AB15BC" w:rsidRDefault="00BD228F" w:rsidP="00BD228F">
      <w:pPr>
        <w:jc w:val="both"/>
        <w:rPr>
          <w:color w:val="000000"/>
          <w:szCs w:val="24"/>
        </w:rPr>
      </w:pPr>
      <w:r w:rsidRPr="00AB15BC">
        <w:rPr>
          <w:color w:val="000000"/>
          <w:szCs w:val="24"/>
        </w:rPr>
        <w:t xml:space="preserve">Les couches pathologiques ou repos pathologiques sont des </w:t>
      </w:r>
      <w:r w:rsidRPr="00AB15BC">
        <w:rPr>
          <w:iCs/>
          <w:color w:val="000000"/>
          <w:szCs w:val="24"/>
        </w:rPr>
        <w:t xml:space="preserve">congés de maladie ordinaire pour les agents </w:t>
      </w:r>
      <w:r>
        <w:rPr>
          <w:iCs/>
          <w:color w:val="000000"/>
          <w:szCs w:val="24"/>
        </w:rPr>
        <w:t>contractuels</w:t>
      </w:r>
      <w:r w:rsidRPr="00AB15BC">
        <w:rPr>
          <w:color w:val="000000"/>
          <w:szCs w:val="24"/>
        </w:rPr>
        <w:t xml:space="preserve"> et des congés de </w:t>
      </w:r>
      <w:r w:rsidRPr="00AB15BC">
        <w:rPr>
          <w:iCs/>
          <w:color w:val="000000"/>
          <w:szCs w:val="24"/>
        </w:rPr>
        <w:t>maternité pour les fonctionnaires relevant du régime spécial.</w:t>
      </w:r>
    </w:p>
    <w:p w14:paraId="35F8E6F4" w14:textId="77777777" w:rsidR="00BD228F" w:rsidRDefault="00BD228F" w:rsidP="00BD228F">
      <w:pPr>
        <w:jc w:val="both"/>
        <w:rPr>
          <w:color w:val="000000"/>
          <w:szCs w:val="24"/>
        </w:rPr>
      </w:pPr>
    </w:p>
    <w:p w14:paraId="28C0EAFF" w14:textId="77777777" w:rsidR="00BD228F" w:rsidRPr="006E71CC" w:rsidRDefault="00BD228F" w:rsidP="00BD228F">
      <w:pPr>
        <w:jc w:val="both"/>
        <w:rPr>
          <w:b/>
          <w:color w:val="00B0F0"/>
          <w:szCs w:val="24"/>
        </w:rPr>
      </w:pPr>
      <w:r w:rsidRPr="006E71CC">
        <w:rPr>
          <w:b/>
          <w:color w:val="00B0F0"/>
          <w:szCs w:val="24"/>
        </w:rPr>
        <w:t>Les autorisations spéciales d’absence liées au COVID sont-elles à recenser ?</w:t>
      </w:r>
    </w:p>
    <w:p w14:paraId="0C03EFA3" w14:textId="77777777" w:rsidR="00BD228F" w:rsidRPr="006E71CC" w:rsidRDefault="00BD228F" w:rsidP="00BD228F">
      <w:pPr>
        <w:jc w:val="both"/>
        <w:rPr>
          <w:rFonts w:cs="Arial"/>
          <w:i/>
          <w:color w:val="E36C0A" w:themeColor="accent6" w:themeShade="BF"/>
          <w:szCs w:val="24"/>
        </w:rPr>
      </w:pPr>
      <w:r w:rsidRPr="006E71CC">
        <w:rPr>
          <w:rFonts w:cs="Arial"/>
          <w:i/>
          <w:color w:val="E36C0A" w:themeColor="accent6" w:themeShade="BF"/>
          <w:szCs w:val="24"/>
        </w:rPr>
        <w:t>Indicateurs 2.1.1 / 2.1.2 / 2.1.3</w:t>
      </w:r>
    </w:p>
    <w:p w14:paraId="0E0D0022" w14:textId="77777777" w:rsidR="00BD228F" w:rsidRPr="002C4B88" w:rsidRDefault="00BD228F" w:rsidP="00BD228F">
      <w:pPr>
        <w:jc w:val="both"/>
        <w:rPr>
          <w:szCs w:val="24"/>
        </w:rPr>
      </w:pPr>
      <w:r w:rsidRPr="006E71CC">
        <w:rPr>
          <w:szCs w:val="24"/>
        </w:rPr>
        <w:t>Oui. Les « ASA COVID » sont à comptabiliser dans les autorisations spéciales d’absence.</w:t>
      </w:r>
    </w:p>
    <w:p w14:paraId="23CAC982" w14:textId="77777777" w:rsidR="00BD228F" w:rsidRPr="002C4B88" w:rsidRDefault="00BD228F" w:rsidP="00BD228F">
      <w:pPr>
        <w:jc w:val="both"/>
        <w:rPr>
          <w:b/>
          <w:color w:val="00B0F0"/>
          <w:szCs w:val="24"/>
        </w:rPr>
      </w:pPr>
    </w:p>
    <w:p w14:paraId="35A139B3" w14:textId="77777777" w:rsidR="00BD228F" w:rsidRDefault="00BD228F" w:rsidP="00BD228F">
      <w:pPr>
        <w:jc w:val="both"/>
        <w:rPr>
          <w:rFonts w:cs="Arial"/>
          <w:b/>
          <w:color w:val="00B0F0"/>
          <w:szCs w:val="24"/>
        </w:rPr>
      </w:pPr>
      <w:r w:rsidRPr="00337722">
        <w:rPr>
          <w:rFonts w:cs="Arial"/>
          <w:b/>
          <w:color w:val="00B0F0"/>
          <w:szCs w:val="24"/>
        </w:rPr>
        <w:t>Dans « autorisation spéciale d’absence », faut-il mettre les jours de formation pour préparation au concours ou uniquement le jour du concours ?</w:t>
      </w:r>
    </w:p>
    <w:p w14:paraId="052F47B8" w14:textId="77777777" w:rsidR="00BD228F" w:rsidRDefault="00BD228F" w:rsidP="00BD228F">
      <w:pPr>
        <w:jc w:val="both"/>
        <w:rPr>
          <w:rFonts w:cs="Arial"/>
          <w:i/>
          <w:color w:val="E36C0A" w:themeColor="accent6" w:themeShade="BF"/>
          <w:szCs w:val="24"/>
        </w:rPr>
      </w:pPr>
      <w:r>
        <w:rPr>
          <w:rFonts w:cs="Arial"/>
          <w:i/>
          <w:color w:val="E36C0A" w:themeColor="accent6" w:themeShade="BF"/>
          <w:szCs w:val="24"/>
        </w:rPr>
        <w:t>Indicateurs</w:t>
      </w:r>
      <w:r w:rsidRPr="00A65814">
        <w:rPr>
          <w:rFonts w:cs="Arial"/>
          <w:i/>
          <w:color w:val="E36C0A" w:themeColor="accent6" w:themeShade="BF"/>
          <w:szCs w:val="24"/>
        </w:rPr>
        <w:t xml:space="preserve"> 2.1.1 </w:t>
      </w:r>
      <w:r>
        <w:rPr>
          <w:rFonts w:cs="Arial"/>
          <w:i/>
          <w:color w:val="E36C0A" w:themeColor="accent6" w:themeShade="BF"/>
          <w:szCs w:val="24"/>
        </w:rPr>
        <w:t>/ 2.1.2 / 2.1.3</w:t>
      </w:r>
    </w:p>
    <w:p w14:paraId="01DF2076" w14:textId="77777777" w:rsidR="00BD228F" w:rsidRDefault="00BD228F" w:rsidP="00BD228F">
      <w:pPr>
        <w:jc w:val="both"/>
        <w:rPr>
          <w:rFonts w:cs="Arial"/>
          <w:color w:val="000000"/>
          <w:szCs w:val="24"/>
        </w:rPr>
      </w:pPr>
      <w:r>
        <w:rPr>
          <w:rFonts w:cs="Arial"/>
          <w:color w:val="000000"/>
          <w:szCs w:val="24"/>
        </w:rPr>
        <w:t>Il faut compter dans les autorisations spéciales d’absence les journées accordées par l’employeur pour présenter les épreuves. Les jours de « préparation au concours » auprès d’un organisme de formation (par exemple, le CNFPT) ne sont pas des autorisations spéciales d’absence. Ils sont à compter dans la formation.</w:t>
      </w:r>
    </w:p>
    <w:p w14:paraId="67ECEE56" w14:textId="77777777" w:rsidR="00BD228F" w:rsidRPr="00AB15BC" w:rsidRDefault="00BD228F" w:rsidP="00BD228F">
      <w:pPr>
        <w:rPr>
          <w:rFonts w:cs="Arial"/>
          <w:color w:val="000000"/>
          <w:szCs w:val="24"/>
        </w:rPr>
      </w:pPr>
    </w:p>
    <w:p w14:paraId="07803E2D" w14:textId="77777777" w:rsidR="00BD228F" w:rsidRDefault="00BD228F" w:rsidP="00BD228F">
      <w:pPr>
        <w:jc w:val="both"/>
        <w:rPr>
          <w:rFonts w:cs="Arial"/>
          <w:b/>
          <w:color w:val="00B0F0"/>
          <w:szCs w:val="24"/>
        </w:rPr>
      </w:pPr>
      <w:r>
        <w:rPr>
          <w:rFonts w:cs="Arial"/>
          <w:b/>
          <w:color w:val="00B0F0"/>
          <w:szCs w:val="24"/>
        </w:rPr>
        <w:t>D</w:t>
      </w:r>
      <w:r w:rsidRPr="00337722">
        <w:rPr>
          <w:rFonts w:cs="Arial"/>
          <w:b/>
          <w:color w:val="00B0F0"/>
          <w:szCs w:val="24"/>
        </w:rPr>
        <w:t xml:space="preserve">oit-on prendre en compte </w:t>
      </w:r>
      <w:r>
        <w:rPr>
          <w:rFonts w:cs="Arial"/>
          <w:b/>
          <w:color w:val="00B0F0"/>
          <w:szCs w:val="24"/>
        </w:rPr>
        <w:t xml:space="preserve">les absences de </w:t>
      </w:r>
      <w:r w:rsidRPr="00337722">
        <w:rPr>
          <w:rFonts w:cs="Arial"/>
          <w:b/>
          <w:color w:val="00B0F0"/>
          <w:szCs w:val="24"/>
        </w:rPr>
        <w:t>tous les agents présents dans l’année ou seulement ceux présents au 31.12.</w:t>
      </w:r>
      <w:r>
        <w:rPr>
          <w:rFonts w:cs="Arial"/>
          <w:b/>
          <w:color w:val="00B0F0"/>
          <w:szCs w:val="24"/>
        </w:rPr>
        <w:t>2021</w:t>
      </w:r>
      <w:r w:rsidRPr="00337722">
        <w:rPr>
          <w:rFonts w:cs="Arial"/>
          <w:b/>
          <w:color w:val="00B0F0"/>
          <w:szCs w:val="24"/>
        </w:rPr>
        <w:t> ?</w:t>
      </w:r>
    </w:p>
    <w:p w14:paraId="5DDE0229" w14:textId="77777777" w:rsidR="00BD228F" w:rsidRDefault="00BD228F" w:rsidP="00BD228F">
      <w:pPr>
        <w:jc w:val="both"/>
        <w:rPr>
          <w:rFonts w:cs="Arial"/>
          <w:i/>
          <w:color w:val="E36C0A" w:themeColor="accent6" w:themeShade="BF"/>
          <w:szCs w:val="24"/>
        </w:rPr>
      </w:pPr>
      <w:r>
        <w:rPr>
          <w:rFonts w:cs="Arial"/>
          <w:i/>
          <w:color w:val="E36C0A" w:themeColor="accent6" w:themeShade="BF"/>
          <w:szCs w:val="24"/>
        </w:rPr>
        <w:t>Indicateurs</w:t>
      </w:r>
      <w:r w:rsidRPr="00A65814">
        <w:rPr>
          <w:rFonts w:cs="Arial"/>
          <w:i/>
          <w:color w:val="E36C0A" w:themeColor="accent6" w:themeShade="BF"/>
          <w:szCs w:val="24"/>
        </w:rPr>
        <w:t xml:space="preserve"> 2.1.1 </w:t>
      </w:r>
      <w:r>
        <w:rPr>
          <w:rFonts w:cs="Arial"/>
          <w:i/>
          <w:color w:val="E36C0A" w:themeColor="accent6" w:themeShade="BF"/>
          <w:szCs w:val="24"/>
        </w:rPr>
        <w:t>/ 2.1.2 / 2.1.3</w:t>
      </w:r>
    </w:p>
    <w:p w14:paraId="2905D97B" w14:textId="77777777" w:rsidR="00BD228F" w:rsidRPr="00AB15BC" w:rsidRDefault="00BD228F" w:rsidP="00BD228F">
      <w:pPr>
        <w:rPr>
          <w:rFonts w:cs="Arial"/>
          <w:color w:val="000000"/>
          <w:szCs w:val="24"/>
        </w:rPr>
      </w:pPr>
      <w:r w:rsidRPr="00AB15BC">
        <w:rPr>
          <w:rFonts w:cs="Arial"/>
          <w:color w:val="000000"/>
          <w:szCs w:val="24"/>
        </w:rPr>
        <w:t xml:space="preserve">Il faut </w:t>
      </w:r>
      <w:r>
        <w:rPr>
          <w:rFonts w:cs="Arial"/>
          <w:color w:val="000000"/>
          <w:szCs w:val="24"/>
        </w:rPr>
        <w:t xml:space="preserve">seulement prendre en compte </w:t>
      </w:r>
      <w:r w:rsidRPr="00AB15BC">
        <w:rPr>
          <w:rFonts w:cs="Arial"/>
          <w:color w:val="000000"/>
          <w:szCs w:val="24"/>
        </w:rPr>
        <w:t xml:space="preserve">les agents présents </w:t>
      </w:r>
      <w:r>
        <w:rPr>
          <w:rFonts w:cs="Arial"/>
          <w:color w:val="000000"/>
          <w:szCs w:val="24"/>
        </w:rPr>
        <w:t>au 31.12.2021</w:t>
      </w:r>
      <w:r w:rsidRPr="00AB15BC">
        <w:rPr>
          <w:rFonts w:cs="Arial"/>
          <w:color w:val="000000"/>
          <w:szCs w:val="24"/>
        </w:rPr>
        <w:t>.</w:t>
      </w:r>
    </w:p>
    <w:p w14:paraId="6074FD74" w14:textId="77777777" w:rsidR="00BD228F" w:rsidRDefault="00BD228F" w:rsidP="00BD228F">
      <w:pPr>
        <w:jc w:val="both"/>
        <w:rPr>
          <w:color w:val="000000"/>
          <w:szCs w:val="24"/>
        </w:rPr>
      </w:pPr>
    </w:p>
    <w:p w14:paraId="032C26B5" w14:textId="77777777" w:rsidR="00BD228F" w:rsidRPr="004432A2" w:rsidRDefault="00BD228F" w:rsidP="00BD228F">
      <w:pPr>
        <w:jc w:val="both"/>
        <w:rPr>
          <w:b/>
          <w:color w:val="00B0F0"/>
          <w:szCs w:val="24"/>
        </w:rPr>
      </w:pPr>
      <w:r w:rsidRPr="004432A2">
        <w:rPr>
          <w:b/>
          <w:color w:val="00B0F0"/>
          <w:szCs w:val="24"/>
        </w:rPr>
        <w:t>Comment comptabiliser les absences injustifiées ?</w:t>
      </w:r>
    </w:p>
    <w:p w14:paraId="4FD59FE1" w14:textId="77777777" w:rsidR="00BD228F" w:rsidRPr="00063796" w:rsidRDefault="00BD228F" w:rsidP="00BD228F">
      <w:pPr>
        <w:jc w:val="both"/>
        <w:rPr>
          <w:i/>
          <w:color w:val="E36C0A" w:themeColor="accent6" w:themeShade="BF"/>
          <w:szCs w:val="24"/>
        </w:rPr>
      </w:pPr>
      <w:r w:rsidRPr="00063796">
        <w:rPr>
          <w:i/>
          <w:color w:val="E36C0A" w:themeColor="accent6" w:themeShade="BF"/>
          <w:szCs w:val="24"/>
        </w:rPr>
        <w:t>Indicateurs 2.1.1/2.1.2/2.1.3</w:t>
      </w:r>
    </w:p>
    <w:p w14:paraId="5163686F" w14:textId="77777777" w:rsidR="00BD228F" w:rsidRPr="00EF6B48" w:rsidRDefault="00BD228F" w:rsidP="00BD228F">
      <w:pPr>
        <w:pBdr>
          <w:left w:val="single" w:sz="4" w:space="4" w:color="auto"/>
        </w:pBdr>
        <w:jc w:val="both"/>
        <w:rPr>
          <w:rFonts w:cstheme="minorHAnsi"/>
          <w:szCs w:val="24"/>
        </w:rPr>
      </w:pPr>
      <w:r w:rsidRPr="00EF6B48">
        <w:rPr>
          <w:rFonts w:cstheme="minorHAnsi"/>
          <w:szCs w:val="24"/>
        </w:rPr>
        <w:t>Les absences injustifiées s'apparentent à des absences de service fait et entraînent une absence de rémunération mais n'ont pas d'incidence sur la position de l'agent qui reste en position d'activité.</w:t>
      </w:r>
    </w:p>
    <w:p w14:paraId="6DAA582B" w14:textId="77777777" w:rsidR="00BD228F" w:rsidRPr="00EF6B48" w:rsidRDefault="00BD228F" w:rsidP="00BD228F">
      <w:pPr>
        <w:pBdr>
          <w:left w:val="single" w:sz="4" w:space="4" w:color="auto"/>
        </w:pBdr>
        <w:rPr>
          <w:rFonts w:cstheme="minorHAnsi"/>
          <w:szCs w:val="24"/>
        </w:rPr>
      </w:pPr>
      <w:r w:rsidRPr="00EF6B48">
        <w:rPr>
          <w:rFonts w:cstheme="minorHAnsi"/>
          <w:szCs w:val="24"/>
        </w:rPr>
        <w:t>Aussi, ce type d'absence ne doit pas être recensé.</w:t>
      </w:r>
    </w:p>
    <w:p w14:paraId="3B054E66" w14:textId="77777777" w:rsidR="00BD228F" w:rsidRDefault="00BD228F" w:rsidP="00BD228F">
      <w:pPr>
        <w:jc w:val="both"/>
        <w:rPr>
          <w:color w:val="000000"/>
          <w:szCs w:val="24"/>
        </w:rPr>
      </w:pPr>
    </w:p>
    <w:p w14:paraId="559D84BB" w14:textId="77777777" w:rsidR="00BD228F" w:rsidRDefault="00BD228F" w:rsidP="00BD228F">
      <w:pPr>
        <w:tabs>
          <w:tab w:val="left" w:pos="2484"/>
        </w:tabs>
        <w:jc w:val="both"/>
        <w:rPr>
          <w:color w:val="000000"/>
          <w:szCs w:val="24"/>
        </w:rPr>
      </w:pPr>
      <w:r>
        <w:rPr>
          <w:color w:val="000000"/>
          <w:szCs w:val="24"/>
        </w:rPr>
        <w:tab/>
      </w:r>
    </w:p>
    <w:p w14:paraId="16F9E66F" w14:textId="77777777" w:rsidR="00BD228F" w:rsidRPr="00063796" w:rsidRDefault="00BD228F" w:rsidP="00BD228F">
      <w:pPr>
        <w:jc w:val="both"/>
        <w:rPr>
          <w:b/>
          <w:color w:val="000000"/>
          <w:szCs w:val="24"/>
        </w:rPr>
      </w:pPr>
      <w:r w:rsidRPr="00AE6EDB">
        <w:rPr>
          <w:b/>
          <w:color w:val="00B0F0"/>
          <w:szCs w:val="24"/>
        </w:rPr>
        <w:t xml:space="preserve">Quels sont les agents à renseigner aux indicateurs </w:t>
      </w:r>
      <w:r w:rsidRPr="00063796">
        <w:rPr>
          <w:b/>
          <w:i/>
          <w:color w:val="00B0F0"/>
          <w:szCs w:val="24"/>
        </w:rPr>
        <w:t>2.1.4/2.1.5/2.1.6</w:t>
      </w:r>
      <w:r w:rsidRPr="00063796">
        <w:rPr>
          <w:b/>
          <w:color w:val="00B0F0"/>
          <w:szCs w:val="24"/>
        </w:rPr>
        <w:t> ?</w:t>
      </w:r>
    </w:p>
    <w:p w14:paraId="0C09E467" w14:textId="77777777" w:rsidR="00BD228F" w:rsidRPr="00004C40" w:rsidRDefault="00BD228F" w:rsidP="00BD228F">
      <w:pPr>
        <w:jc w:val="both"/>
        <w:rPr>
          <w:color w:val="000000"/>
          <w:szCs w:val="24"/>
        </w:rPr>
      </w:pPr>
      <w:r w:rsidRPr="00004C40">
        <w:rPr>
          <w:color w:val="000000"/>
          <w:szCs w:val="24"/>
        </w:rPr>
        <w:t>Pour ce</w:t>
      </w:r>
      <w:r>
        <w:rPr>
          <w:color w:val="000000"/>
          <w:szCs w:val="24"/>
        </w:rPr>
        <w:t>s</w:t>
      </w:r>
      <w:r w:rsidRPr="00004C40">
        <w:rPr>
          <w:color w:val="000000"/>
          <w:szCs w:val="24"/>
        </w:rPr>
        <w:t xml:space="preserve"> indicateur</w:t>
      </w:r>
      <w:r>
        <w:rPr>
          <w:color w:val="000000"/>
          <w:szCs w:val="24"/>
        </w:rPr>
        <w:t>s</w:t>
      </w:r>
      <w:r w:rsidRPr="00004C40">
        <w:rPr>
          <w:color w:val="000000"/>
          <w:szCs w:val="24"/>
        </w:rPr>
        <w:t xml:space="preserve">, il est important de compter tous les congés, y compris ceux des agents qui auraient quitté la structure en cours d’année. Il faut donc comptabiliser tous les congés des agents ayant travaillé au moins un jour dans l’année </w:t>
      </w:r>
      <w:r>
        <w:rPr>
          <w:color w:val="000000"/>
          <w:szCs w:val="24"/>
        </w:rPr>
        <w:t>2021</w:t>
      </w:r>
      <w:r w:rsidRPr="00004C40">
        <w:rPr>
          <w:color w:val="000000"/>
          <w:szCs w:val="24"/>
        </w:rPr>
        <w:t>.</w:t>
      </w:r>
    </w:p>
    <w:p w14:paraId="728C001B" w14:textId="77777777" w:rsidR="00BD228F" w:rsidRPr="00004C40" w:rsidRDefault="00BD228F" w:rsidP="00BD228F">
      <w:pPr>
        <w:jc w:val="both"/>
        <w:rPr>
          <w:color w:val="000000"/>
          <w:szCs w:val="24"/>
        </w:rPr>
      </w:pPr>
    </w:p>
    <w:p w14:paraId="7FED10F4" w14:textId="77777777" w:rsidR="00BD228F" w:rsidRDefault="00BD228F" w:rsidP="00BD228F">
      <w:pPr>
        <w:jc w:val="both"/>
        <w:rPr>
          <w:color w:val="000000"/>
          <w:szCs w:val="24"/>
        </w:rPr>
      </w:pPr>
      <w:r w:rsidRPr="00004C40">
        <w:rPr>
          <w:color w:val="000000"/>
          <w:szCs w:val="24"/>
        </w:rPr>
        <w:t>De fait, les données de cet indicateur ne correspondent pas forcément à la ligne dédiée à la naissance, aux adoptions, à la paternité et à l’accueil de l</w:t>
      </w:r>
      <w:r>
        <w:rPr>
          <w:color w:val="000000"/>
          <w:szCs w:val="24"/>
        </w:rPr>
        <w:t>’enfant de l’indicateur 2.1.1. En effet, elles ne recouvrent</w:t>
      </w:r>
      <w:r w:rsidRPr="00004C40">
        <w:rPr>
          <w:color w:val="000000"/>
          <w:szCs w:val="24"/>
        </w:rPr>
        <w:t xml:space="preserve"> pas le même champ</w:t>
      </w:r>
      <w:r>
        <w:rPr>
          <w:color w:val="000000"/>
          <w:szCs w:val="24"/>
        </w:rPr>
        <w:t>. De plus,</w:t>
      </w:r>
      <w:r w:rsidRPr="00004C40">
        <w:rPr>
          <w:color w:val="000000"/>
          <w:szCs w:val="24"/>
        </w:rPr>
        <w:t xml:space="preserve"> les jours de naissance et pour adoption ne sont pas comptabilisés </w:t>
      </w:r>
      <w:r>
        <w:rPr>
          <w:color w:val="000000"/>
          <w:szCs w:val="24"/>
        </w:rPr>
        <w:t>à</w:t>
      </w:r>
      <w:r w:rsidRPr="00004C40">
        <w:rPr>
          <w:color w:val="000000"/>
          <w:szCs w:val="24"/>
        </w:rPr>
        <w:t xml:space="preserve"> l’indicateur 2.1.4.</w:t>
      </w:r>
    </w:p>
    <w:p w14:paraId="44B0584D" w14:textId="77777777" w:rsidR="00BD228F" w:rsidRDefault="00BD228F" w:rsidP="00BD228F">
      <w:pPr>
        <w:jc w:val="both"/>
        <w:rPr>
          <w:color w:val="000000"/>
          <w:szCs w:val="24"/>
        </w:rPr>
      </w:pPr>
    </w:p>
    <w:p w14:paraId="3C385EF6" w14:textId="77777777" w:rsidR="00BD228F" w:rsidRPr="00D763DB" w:rsidRDefault="00BD228F" w:rsidP="00BD228F">
      <w:pPr>
        <w:jc w:val="both"/>
        <w:rPr>
          <w:rFonts w:cstheme="minorHAnsi"/>
          <w:color w:val="000000" w:themeColor="text1"/>
          <w:szCs w:val="24"/>
        </w:rPr>
      </w:pPr>
      <w:r w:rsidRPr="00D763DB">
        <w:rPr>
          <w:color w:val="000000" w:themeColor="text1"/>
          <w:szCs w:val="24"/>
        </w:rPr>
        <w:t xml:space="preserve">Indicateur 2.1.6 : </w:t>
      </w:r>
      <w:r w:rsidRPr="00D763DB">
        <w:rPr>
          <w:rFonts w:cstheme="minorHAnsi"/>
          <w:color w:val="000000" w:themeColor="text1"/>
          <w:shd w:val="clear" w:color="auto" w:fill="FFFFFF"/>
        </w:rPr>
        <w:t>Le </w:t>
      </w:r>
      <w:r w:rsidRPr="00D763DB">
        <w:rPr>
          <w:rFonts w:cstheme="minorHAnsi"/>
          <w:bCs/>
          <w:color w:val="000000" w:themeColor="text1"/>
          <w:shd w:val="clear" w:color="auto" w:fill="FFFFFF"/>
        </w:rPr>
        <w:t>congé de solidarité</w:t>
      </w:r>
      <w:r w:rsidRPr="00D763DB">
        <w:rPr>
          <w:rFonts w:cstheme="minorHAnsi"/>
          <w:color w:val="000000" w:themeColor="text1"/>
          <w:shd w:val="clear" w:color="auto" w:fill="FFFFFF"/>
        </w:rPr>
        <w:t> familiale permet à un agent public de rester auprès d'un proche en fin de vie. Il peut consister en une cessation temporaire d'activité (continue ou fractionnée par périodes d'au moins 7 jours) ou en un passage temporaire à temps partiel. Ce </w:t>
      </w:r>
      <w:r w:rsidRPr="00D763DB">
        <w:rPr>
          <w:rFonts w:cstheme="minorHAnsi"/>
          <w:bCs/>
          <w:color w:val="000000" w:themeColor="text1"/>
          <w:shd w:val="clear" w:color="auto" w:fill="FFFFFF"/>
        </w:rPr>
        <w:t>congé</w:t>
      </w:r>
      <w:r w:rsidRPr="00D763DB">
        <w:rPr>
          <w:rFonts w:cstheme="minorHAnsi"/>
          <w:color w:val="000000" w:themeColor="text1"/>
          <w:shd w:val="clear" w:color="auto" w:fill="FFFFFF"/>
        </w:rPr>
        <w:t> est non rémunéré.</w:t>
      </w:r>
    </w:p>
    <w:p w14:paraId="599FC6CD" w14:textId="77777777" w:rsidR="00BD228F" w:rsidRPr="00142316" w:rsidRDefault="00BD228F" w:rsidP="00BD228F">
      <w:pPr>
        <w:jc w:val="both"/>
        <w:rPr>
          <w:color w:val="00B050"/>
          <w:szCs w:val="24"/>
        </w:rPr>
      </w:pPr>
    </w:p>
    <w:p w14:paraId="619A9298" w14:textId="77777777" w:rsidR="00BD228F" w:rsidRPr="00C31EA1" w:rsidRDefault="00BD228F" w:rsidP="00BD228F">
      <w:pPr>
        <w:jc w:val="both"/>
        <w:rPr>
          <w:rFonts w:cs="Arial"/>
          <w:b/>
          <w:color w:val="00B0F0"/>
          <w:szCs w:val="24"/>
        </w:rPr>
      </w:pPr>
      <w:r w:rsidRPr="00C31EA1">
        <w:rPr>
          <w:rFonts w:cs="Arial"/>
          <w:b/>
          <w:color w:val="00B0F0"/>
          <w:szCs w:val="24"/>
        </w:rPr>
        <w:t>Pour les entretiens avant et après des congés de 6 mois ou plus, quels peuvent être les autres cas de congés de plus de 6 mo</w:t>
      </w:r>
      <w:r>
        <w:rPr>
          <w:rFonts w:cs="Arial"/>
          <w:b/>
          <w:color w:val="00B0F0"/>
          <w:szCs w:val="24"/>
        </w:rPr>
        <w:t xml:space="preserve">is </w:t>
      </w:r>
      <w:r w:rsidRPr="00C31EA1">
        <w:rPr>
          <w:rFonts w:cs="Arial"/>
          <w:b/>
          <w:color w:val="00B0F0"/>
          <w:szCs w:val="24"/>
        </w:rPr>
        <w:t>(hors congé parental, disponibilité et congé de solidarité familiale) ?</w:t>
      </w:r>
    </w:p>
    <w:p w14:paraId="01F6AF2F" w14:textId="77777777" w:rsidR="00BD228F" w:rsidRPr="00C31EA1" w:rsidRDefault="00BD228F" w:rsidP="00BD228F">
      <w:pPr>
        <w:jc w:val="both"/>
        <w:rPr>
          <w:rFonts w:cs="Arial"/>
          <w:i/>
          <w:color w:val="E36C0A" w:themeColor="accent6" w:themeShade="BF"/>
          <w:szCs w:val="24"/>
        </w:rPr>
      </w:pPr>
      <w:r w:rsidRPr="00C31EA1">
        <w:rPr>
          <w:rFonts w:cs="Arial"/>
          <w:i/>
          <w:color w:val="E36C0A" w:themeColor="accent6" w:themeShade="BF"/>
          <w:szCs w:val="24"/>
        </w:rPr>
        <w:t>Indicateur 2.1.</w:t>
      </w:r>
      <w:r>
        <w:rPr>
          <w:rFonts w:cs="Arial"/>
          <w:i/>
          <w:color w:val="E36C0A" w:themeColor="accent6" w:themeShade="BF"/>
          <w:szCs w:val="24"/>
        </w:rPr>
        <w:t>7</w:t>
      </w:r>
      <w:r w:rsidRPr="00C31EA1">
        <w:rPr>
          <w:rFonts w:cs="Arial"/>
          <w:i/>
          <w:color w:val="E36C0A" w:themeColor="accent6" w:themeShade="BF"/>
          <w:szCs w:val="24"/>
        </w:rPr>
        <w:t xml:space="preserve"> – « Entretiens avant et après des congés de 6 mois ou plus »</w:t>
      </w:r>
    </w:p>
    <w:p w14:paraId="6FAB4901" w14:textId="77777777" w:rsidR="00BD228F" w:rsidRDefault="00BD228F" w:rsidP="00BD228F">
      <w:pPr>
        <w:jc w:val="both"/>
        <w:rPr>
          <w:color w:val="000000"/>
          <w:szCs w:val="24"/>
        </w:rPr>
      </w:pPr>
      <w:r w:rsidRPr="00C31EA1">
        <w:rPr>
          <w:color w:val="000000"/>
          <w:szCs w:val="24"/>
        </w:rPr>
        <w:t>Cet indicateur vise spécialement les interruptions de carrière longue pour raisons familiales ou personnelles. Il ne faut pas compter les situations d’absences longues pour raison de santé (ex. des congés l</w:t>
      </w:r>
      <w:r>
        <w:rPr>
          <w:color w:val="000000"/>
          <w:szCs w:val="24"/>
        </w:rPr>
        <w:t>ongue maladie ou longue durée).</w:t>
      </w:r>
    </w:p>
    <w:p w14:paraId="191CAEA5" w14:textId="77777777" w:rsidR="00BD228F" w:rsidRDefault="00BD228F" w:rsidP="00BD228F">
      <w:pPr>
        <w:jc w:val="both"/>
        <w:rPr>
          <w:color w:val="000000"/>
          <w:szCs w:val="24"/>
        </w:rPr>
      </w:pPr>
      <w:r w:rsidRPr="00C31EA1">
        <w:rPr>
          <w:color w:val="000000"/>
          <w:szCs w:val="24"/>
        </w:rPr>
        <w:t>Les autres cas de congés de plus de 6 mois peuvent être des congés de formation,</w:t>
      </w:r>
      <w:r>
        <w:rPr>
          <w:color w:val="000000"/>
          <w:szCs w:val="24"/>
        </w:rPr>
        <w:t xml:space="preserve"> congés de </w:t>
      </w:r>
      <w:r w:rsidRPr="00C31EA1">
        <w:rPr>
          <w:color w:val="000000"/>
          <w:szCs w:val="24"/>
        </w:rPr>
        <w:t>présence parentale, et congés de maternité pour 3</w:t>
      </w:r>
      <w:r w:rsidRPr="00C31EA1">
        <w:rPr>
          <w:color w:val="000000"/>
          <w:szCs w:val="24"/>
          <w:vertAlign w:val="superscript"/>
        </w:rPr>
        <w:t>ème</w:t>
      </w:r>
      <w:r w:rsidRPr="00C31EA1">
        <w:rPr>
          <w:color w:val="000000"/>
          <w:szCs w:val="24"/>
        </w:rPr>
        <w:t xml:space="preserve"> enfant.</w:t>
      </w:r>
    </w:p>
    <w:p w14:paraId="7C649D1F" w14:textId="77777777" w:rsidR="00BD228F" w:rsidRPr="00AB15BC" w:rsidRDefault="00BD228F" w:rsidP="00BD228F">
      <w:pPr>
        <w:jc w:val="both"/>
        <w:rPr>
          <w:color w:val="000000"/>
          <w:szCs w:val="24"/>
        </w:rPr>
      </w:pPr>
    </w:p>
    <w:p w14:paraId="3AEC9C68" w14:textId="77777777" w:rsidR="00BD228F" w:rsidRDefault="00BD228F" w:rsidP="00BD228F">
      <w:pPr>
        <w:jc w:val="both"/>
        <w:rPr>
          <w:rFonts w:cs="Arial"/>
          <w:b/>
          <w:color w:val="00B0F0"/>
          <w:szCs w:val="24"/>
        </w:rPr>
      </w:pPr>
      <w:r w:rsidRPr="00337722">
        <w:rPr>
          <w:rFonts w:cs="Arial"/>
          <w:b/>
          <w:color w:val="00B0F0"/>
          <w:szCs w:val="24"/>
        </w:rPr>
        <w:t>Faut-il comptabiliser les « horaires décalés » ?</w:t>
      </w:r>
    </w:p>
    <w:p w14:paraId="22391C39" w14:textId="77777777" w:rsidR="00BD228F" w:rsidRPr="00A65814" w:rsidRDefault="00BD228F" w:rsidP="00BD228F">
      <w:pPr>
        <w:jc w:val="both"/>
        <w:rPr>
          <w:rFonts w:cs="Arial"/>
          <w:i/>
          <w:color w:val="E36C0A" w:themeColor="accent6" w:themeShade="BF"/>
          <w:szCs w:val="24"/>
        </w:rPr>
      </w:pPr>
      <w:r w:rsidRPr="00A65814">
        <w:rPr>
          <w:rFonts w:cs="Arial"/>
          <w:i/>
          <w:color w:val="E36C0A" w:themeColor="accent6" w:themeShade="BF"/>
          <w:szCs w:val="24"/>
        </w:rPr>
        <w:t>Indicateur 2.2.2 </w:t>
      </w:r>
      <w:r>
        <w:rPr>
          <w:rFonts w:cs="Arial"/>
          <w:i/>
          <w:color w:val="E36C0A" w:themeColor="accent6" w:themeShade="BF"/>
          <w:szCs w:val="24"/>
        </w:rPr>
        <w:t>– «</w:t>
      </w:r>
      <w:r w:rsidRPr="00A65814">
        <w:rPr>
          <w:rFonts w:cs="Arial"/>
          <w:i/>
          <w:color w:val="E36C0A" w:themeColor="accent6" w:themeShade="BF"/>
          <w:szCs w:val="24"/>
        </w:rPr>
        <w:t xml:space="preserve"> contraintes particulières concernant le temps de travail</w:t>
      </w:r>
      <w:r>
        <w:rPr>
          <w:rFonts w:cs="Arial"/>
          <w:i/>
          <w:color w:val="E36C0A" w:themeColor="accent6" w:themeShade="BF"/>
          <w:szCs w:val="24"/>
        </w:rPr>
        <w:t> »</w:t>
      </w:r>
    </w:p>
    <w:p w14:paraId="03FC7367" w14:textId="77777777" w:rsidR="00BD228F" w:rsidRDefault="00BD228F" w:rsidP="00BD228F">
      <w:pPr>
        <w:jc w:val="both"/>
        <w:rPr>
          <w:color w:val="000000"/>
          <w:szCs w:val="24"/>
        </w:rPr>
      </w:pPr>
      <w:r>
        <w:rPr>
          <w:color w:val="000000"/>
          <w:szCs w:val="24"/>
        </w:rPr>
        <w:t xml:space="preserve">Oui, il faut compter les horaires décalés. Toutefois, comme il n’existe pas de </w:t>
      </w:r>
      <w:r w:rsidRPr="008C05B1">
        <w:rPr>
          <w:color w:val="000000"/>
          <w:szCs w:val="24"/>
        </w:rPr>
        <w:t>définition statutaire des horaires décalés, il faut se référer à la délibération prise après avis du comité technique.</w:t>
      </w:r>
    </w:p>
    <w:p w14:paraId="06E3EED8" w14:textId="77777777" w:rsidR="00BD228F" w:rsidRDefault="00BD228F" w:rsidP="00BD228F">
      <w:pPr>
        <w:jc w:val="both"/>
        <w:rPr>
          <w:color w:val="000000"/>
          <w:szCs w:val="24"/>
        </w:rPr>
      </w:pPr>
    </w:p>
    <w:p w14:paraId="714E7F53" w14:textId="77777777" w:rsidR="00BD228F" w:rsidRDefault="00BD228F" w:rsidP="00BD228F">
      <w:pPr>
        <w:jc w:val="both"/>
        <w:rPr>
          <w:rFonts w:cs="Arial"/>
          <w:b/>
          <w:color w:val="00B0F0"/>
          <w:szCs w:val="24"/>
        </w:rPr>
      </w:pPr>
      <w:r>
        <w:rPr>
          <w:rFonts w:cs="Arial"/>
          <w:b/>
          <w:color w:val="00B0F0"/>
          <w:szCs w:val="24"/>
        </w:rPr>
        <w:t>Comment comptabiliser des agents cumulant plusieurs contraintes particulières</w:t>
      </w:r>
      <w:r w:rsidRPr="00337722">
        <w:rPr>
          <w:rFonts w:cs="Arial"/>
          <w:b/>
          <w:color w:val="00B0F0"/>
          <w:szCs w:val="24"/>
        </w:rPr>
        <w:t> ?</w:t>
      </w:r>
    </w:p>
    <w:p w14:paraId="6B778F75" w14:textId="77777777" w:rsidR="00BD228F" w:rsidRPr="00A65814" w:rsidRDefault="00BD228F" w:rsidP="00BD228F">
      <w:pPr>
        <w:jc w:val="both"/>
        <w:rPr>
          <w:rFonts w:cs="Arial"/>
          <w:i/>
          <w:color w:val="E36C0A" w:themeColor="accent6" w:themeShade="BF"/>
          <w:szCs w:val="24"/>
        </w:rPr>
      </w:pPr>
      <w:r w:rsidRPr="00A65814">
        <w:rPr>
          <w:rFonts w:cs="Arial"/>
          <w:i/>
          <w:color w:val="E36C0A" w:themeColor="accent6" w:themeShade="BF"/>
          <w:szCs w:val="24"/>
        </w:rPr>
        <w:t>Indicateur 2.2.2 </w:t>
      </w:r>
      <w:r>
        <w:rPr>
          <w:rFonts w:cs="Arial"/>
          <w:i/>
          <w:color w:val="E36C0A" w:themeColor="accent6" w:themeShade="BF"/>
          <w:szCs w:val="24"/>
        </w:rPr>
        <w:t>– «</w:t>
      </w:r>
      <w:r w:rsidRPr="00A65814">
        <w:rPr>
          <w:rFonts w:cs="Arial"/>
          <w:i/>
          <w:color w:val="E36C0A" w:themeColor="accent6" w:themeShade="BF"/>
          <w:szCs w:val="24"/>
        </w:rPr>
        <w:t xml:space="preserve"> contraintes particulières concernant le temps de travail</w:t>
      </w:r>
      <w:r>
        <w:rPr>
          <w:rFonts w:cs="Arial"/>
          <w:i/>
          <w:color w:val="E36C0A" w:themeColor="accent6" w:themeShade="BF"/>
          <w:szCs w:val="24"/>
        </w:rPr>
        <w:t> »</w:t>
      </w:r>
    </w:p>
    <w:p w14:paraId="64C76287" w14:textId="77777777" w:rsidR="00BD228F" w:rsidRDefault="00BD228F" w:rsidP="00BD228F">
      <w:pPr>
        <w:jc w:val="both"/>
        <w:rPr>
          <w:color w:val="000000"/>
          <w:szCs w:val="24"/>
        </w:rPr>
      </w:pPr>
      <w:r>
        <w:rPr>
          <w:color w:val="000000"/>
          <w:szCs w:val="24"/>
        </w:rPr>
        <w:t>Il est possible de renseigner plusieurs contraintes pour un même agent.</w:t>
      </w:r>
    </w:p>
    <w:p w14:paraId="501BCBF4" w14:textId="77777777" w:rsidR="00BD228F" w:rsidRDefault="00BD228F" w:rsidP="00BD228F">
      <w:pPr>
        <w:jc w:val="both"/>
        <w:rPr>
          <w:rFonts w:cs="Arial"/>
          <w:b/>
          <w:color w:val="00B0F0"/>
          <w:szCs w:val="24"/>
        </w:rPr>
      </w:pPr>
    </w:p>
    <w:p w14:paraId="556C3398" w14:textId="77777777" w:rsidR="00BD228F" w:rsidRDefault="00BD228F" w:rsidP="00BD228F">
      <w:pPr>
        <w:jc w:val="both"/>
        <w:rPr>
          <w:rFonts w:cs="Arial"/>
          <w:b/>
          <w:color w:val="00B0F0"/>
          <w:szCs w:val="24"/>
        </w:rPr>
      </w:pPr>
      <w:r w:rsidRPr="00337722">
        <w:rPr>
          <w:rFonts w:cs="Arial"/>
          <w:b/>
          <w:color w:val="00B0F0"/>
          <w:szCs w:val="24"/>
        </w:rPr>
        <w:t>Les agents de catégorie A à 39 heures par semaine sans système de pointage, contrairement aux agents des autres catégories, sont-ils sur un cycle hebdomadaire ou un forfait ?</w:t>
      </w:r>
    </w:p>
    <w:p w14:paraId="330433E6" w14:textId="77777777" w:rsidR="00BD228F" w:rsidRPr="009B1A2C" w:rsidRDefault="00BD228F" w:rsidP="00BD228F">
      <w:pPr>
        <w:jc w:val="both"/>
        <w:rPr>
          <w:rFonts w:cs="Arial"/>
          <w:i/>
          <w:color w:val="E36C0A" w:themeColor="accent6" w:themeShade="BF"/>
          <w:szCs w:val="24"/>
        </w:rPr>
      </w:pPr>
      <w:r>
        <w:rPr>
          <w:rFonts w:cs="Arial"/>
          <w:i/>
          <w:color w:val="E36C0A" w:themeColor="accent6" w:themeShade="BF"/>
          <w:szCs w:val="24"/>
        </w:rPr>
        <w:t xml:space="preserve">Indicateur </w:t>
      </w:r>
      <w:r w:rsidRPr="009B1A2C">
        <w:rPr>
          <w:rFonts w:cs="Arial"/>
          <w:i/>
          <w:color w:val="E36C0A" w:themeColor="accent6" w:themeShade="BF"/>
          <w:szCs w:val="24"/>
        </w:rPr>
        <w:t>2.2.2 - Contraintes particulières concernant le temps de travail</w:t>
      </w:r>
    </w:p>
    <w:p w14:paraId="4347C4B0" w14:textId="77777777" w:rsidR="00BD228F" w:rsidRDefault="00BD228F" w:rsidP="00BD228F">
      <w:pPr>
        <w:jc w:val="both"/>
        <w:rPr>
          <w:color w:val="000000"/>
          <w:szCs w:val="24"/>
        </w:rPr>
      </w:pPr>
      <w:r w:rsidRPr="002B61AD">
        <w:rPr>
          <w:color w:val="000000"/>
          <w:szCs w:val="24"/>
        </w:rPr>
        <w:t xml:space="preserve">Seules les mentions prévues dans la délibération peuvent </w:t>
      </w:r>
      <w:r>
        <w:rPr>
          <w:color w:val="000000"/>
          <w:szCs w:val="24"/>
        </w:rPr>
        <w:t>déterminer le cycle de travail.</w:t>
      </w:r>
    </w:p>
    <w:p w14:paraId="33516E61" w14:textId="77777777" w:rsidR="00BD228F" w:rsidRDefault="00BD228F" w:rsidP="00BD228F">
      <w:pPr>
        <w:jc w:val="both"/>
        <w:rPr>
          <w:color w:val="000000"/>
          <w:szCs w:val="24"/>
        </w:rPr>
      </w:pPr>
      <w:r w:rsidRPr="002B61AD">
        <w:rPr>
          <w:color w:val="000000"/>
          <w:szCs w:val="24"/>
        </w:rPr>
        <w:t>Les cycles de travail au forf</w:t>
      </w:r>
      <w:r>
        <w:rPr>
          <w:color w:val="000000"/>
          <w:szCs w:val="24"/>
        </w:rPr>
        <w:t>ait sont exceptionnels dans la f</w:t>
      </w:r>
      <w:r w:rsidRPr="002B61AD">
        <w:rPr>
          <w:color w:val="000000"/>
          <w:szCs w:val="24"/>
        </w:rPr>
        <w:t>oncti</w:t>
      </w:r>
      <w:r>
        <w:rPr>
          <w:color w:val="000000"/>
          <w:szCs w:val="24"/>
        </w:rPr>
        <w:t>on publique t</w:t>
      </w:r>
      <w:r w:rsidRPr="002B61AD">
        <w:rPr>
          <w:color w:val="000000"/>
          <w:szCs w:val="24"/>
        </w:rPr>
        <w:t xml:space="preserve">erritoriale. Ils ne concernent que </w:t>
      </w:r>
      <w:r w:rsidRPr="008C05B1">
        <w:rPr>
          <w:color w:val="000000"/>
          <w:szCs w:val="24"/>
        </w:rPr>
        <w:t>des emplois de direction, cadres ou personnels itinérants ayant un forfait de jours sans décompte horaire.</w:t>
      </w:r>
    </w:p>
    <w:p w14:paraId="56043BEE" w14:textId="77777777" w:rsidR="00BD228F" w:rsidRPr="00AB15BC" w:rsidRDefault="00BD228F" w:rsidP="00BD228F">
      <w:pPr>
        <w:jc w:val="both"/>
        <w:rPr>
          <w:color w:val="000000"/>
          <w:szCs w:val="24"/>
        </w:rPr>
      </w:pPr>
    </w:p>
    <w:p w14:paraId="7B7BF83E" w14:textId="77777777" w:rsidR="00BD228F" w:rsidRDefault="00BD228F" w:rsidP="00BD228F">
      <w:pPr>
        <w:jc w:val="both"/>
        <w:rPr>
          <w:rFonts w:cs="Arial"/>
          <w:b/>
          <w:color w:val="00B0F0"/>
          <w:szCs w:val="24"/>
        </w:rPr>
      </w:pPr>
      <w:r w:rsidRPr="00337722">
        <w:rPr>
          <w:rFonts w:cs="Arial"/>
          <w:b/>
          <w:color w:val="00B0F0"/>
          <w:szCs w:val="24"/>
        </w:rPr>
        <w:t>Comment renseigner les cycles de travail ?</w:t>
      </w:r>
    </w:p>
    <w:p w14:paraId="5DEF5A1C" w14:textId="77777777" w:rsidR="00BD228F" w:rsidRPr="004D537C" w:rsidRDefault="00BD228F" w:rsidP="00BD228F">
      <w:pPr>
        <w:jc w:val="both"/>
        <w:rPr>
          <w:rFonts w:cs="Arial"/>
          <w:i/>
          <w:color w:val="E36C0A" w:themeColor="accent6" w:themeShade="BF"/>
          <w:szCs w:val="24"/>
        </w:rPr>
      </w:pPr>
      <w:r w:rsidRPr="00C83401">
        <w:rPr>
          <w:rFonts w:cs="Arial"/>
          <w:i/>
          <w:color w:val="E36C0A" w:themeColor="accent6" w:themeShade="BF"/>
          <w:szCs w:val="24"/>
        </w:rPr>
        <w:t>Indicateur 2.2.1 - Modalités d'organisation du temps de travail</w:t>
      </w:r>
    </w:p>
    <w:p w14:paraId="4260BA1D" w14:textId="77777777" w:rsidR="00BD228F" w:rsidRDefault="00BD228F" w:rsidP="00BD228F">
      <w:pPr>
        <w:jc w:val="both"/>
        <w:rPr>
          <w:color w:val="000000"/>
          <w:szCs w:val="24"/>
        </w:rPr>
      </w:pPr>
      <w:r w:rsidRPr="008E32E1">
        <w:rPr>
          <w:color w:val="000000"/>
          <w:szCs w:val="24"/>
        </w:rPr>
        <w:t xml:space="preserve">Le cycle de travail est la période de référence à l’intérieur </w:t>
      </w:r>
      <w:r>
        <w:rPr>
          <w:color w:val="000000"/>
          <w:szCs w:val="24"/>
        </w:rPr>
        <w:t>de laquelle</w:t>
      </w:r>
      <w:r w:rsidRPr="008E32E1">
        <w:rPr>
          <w:color w:val="000000"/>
          <w:szCs w:val="24"/>
        </w:rPr>
        <w:t xml:space="preserve"> les horaires de travail sont définis. Toutes les périodicités sont possibles : la semaine, la quinzaine, le mois, le t</w:t>
      </w:r>
      <w:r>
        <w:rPr>
          <w:color w:val="000000"/>
          <w:szCs w:val="24"/>
        </w:rPr>
        <w:t>rimestre, l’année.</w:t>
      </w:r>
    </w:p>
    <w:p w14:paraId="13D0D17D" w14:textId="77777777" w:rsidR="00BD228F" w:rsidRDefault="00BD228F" w:rsidP="00BD228F">
      <w:pPr>
        <w:jc w:val="both"/>
        <w:rPr>
          <w:color w:val="000000"/>
          <w:szCs w:val="24"/>
        </w:rPr>
      </w:pPr>
      <w:r w:rsidRPr="008E32E1">
        <w:rPr>
          <w:color w:val="000000"/>
          <w:szCs w:val="24"/>
        </w:rPr>
        <w:t>Le cycle est hebdomadaire lorsque les horaires de travail d’un service sont organisés à l’identique d’une semaine sur l’autre tout au long de l’année.</w:t>
      </w:r>
      <w:r>
        <w:rPr>
          <w:color w:val="000000"/>
          <w:szCs w:val="24"/>
        </w:rPr>
        <w:t xml:space="preserve"> </w:t>
      </w:r>
      <w:r w:rsidRPr="008E32E1">
        <w:rPr>
          <w:color w:val="000000"/>
          <w:szCs w:val="24"/>
        </w:rPr>
        <w:t>Le cycle annuel est une période pendant laquelle les temps de travail et de repos sont normalement organisés sur l’ensemble de l’année civile.</w:t>
      </w:r>
    </w:p>
    <w:p w14:paraId="4D0171EA" w14:textId="77777777" w:rsidR="00BD228F" w:rsidRPr="00D763DB" w:rsidRDefault="00BD228F" w:rsidP="00BD228F">
      <w:pPr>
        <w:jc w:val="both"/>
        <w:rPr>
          <w:color w:val="000000"/>
          <w:sz w:val="28"/>
          <w:szCs w:val="24"/>
        </w:rPr>
      </w:pPr>
    </w:p>
    <w:p w14:paraId="4B7BFF1D" w14:textId="77777777" w:rsidR="00BD228F" w:rsidRPr="00D763DB" w:rsidRDefault="00BD228F" w:rsidP="00BD228F">
      <w:pPr>
        <w:jc w:val="both"/>
        <w:rPr>
          <w:rFonts w:cstheme="minorHAnsi"/>
          <w:color w:val="000000" w:themeColor="text1"/>
          <w:szCs w:val="22"/>
        </w:rPr>
      </w:pPr>
      <w:r w:rsidRPr="00D763DB">
        <w:rPr>
          <w:rFonts w:cstheme="minorHAnsi"/>
          <w:color w:val="000000" w:themeColor="text1"/>
          <w:szCs w:val="22"/>
          <w:shd w:val="clear" w:color="auto" w:fill="FFFFFF"/>
        </w:rPr>
        <w:t>Le </w:t>
      </w:r>
      <w:r w:rsidRPr="00D763DB">
        <w:rPr>
          <w:rFonts w:cstheme="minorHAnsi"/>
          <w:bCs/>
          <w:color w:val="000000" w:themeColor="text1"/>
          <w:szCs w:val="22"/>
          <w:shd w:val="clear" w:color="auto" w:fill="FFFFFF"/>
        </w:rPr>
        <w:t>forfait jour</w:t>
      </w:r>
      <w:r w:rsidRPr="00D763DB">
        <w:rPr>
          <w:rFonts w:cstheme="minorHAnsi"/>
          <w:color w:val="000000" w:themeColor="text1"/>
          <w:szCs w:val="22"/>
          <w:shd w:val="clear" w:color="auto" w:fill="FFFFFF"/>
        </w:rPr>
        <w:t> est fixé à 208 </w:t>
      </w:r>
      <w:r w:rsidRPr="00D763DB">
        <w:rPr>
          <w:rFonts w:cstheme="minorHAnsi"/>
          <w:bCs/>
          <w:color w:val="000000" w:themeColor="text1"/>
          <w:szCs w:val="22"/>
          <w:shd w:val="clear" w:color="auto" w:fill="FFFFFF"/>
        </w:rPr>
        <w:t>jours</w:t>
      </w:r>
      <w:r w:rsidRPr="00D763DB">
        <w:rPr>
          <w:rFonts w:cstheme="minorHAnsi"/>
          <w:color w:val="000000" w:themeColor="text1"/>
          <w:szCs w:val="22"/>
          <w:shd w:val="clear" w:color="auto" w:fill="FFFFFF"/>
        </w:rPr>
        <w:t> travaillés dans l'année. Les personnels de direction et d'encadrement ayant choisi le </w:t>
      </w:r>
      <w:r w:rsidRPr="00D763DB">
        <w:rPr>
          <w:rFonts w:cstheme="minorHAnsi"/>
          <w:bCs/>
          <w:color w:val="000000" w:themeColor="text1"/>
          <w:szCs w:val="22"/>
          <w:shd w:val="clear" w:color="auto" w:fill="FFFFFF"/>
        </w:rPr>
        <w:t>forfait jour</w:t>
      </w:r>
      <w:r w:rsidRPr="00D763DB">
        <w:rPr>
          <w:rFonts w:cstheme="minorHAnsi"/>
          <w:color w:val="000000" w:themeColor="text1"/>
          <w:szCs w:val="22"/>
          <w:shd w:val="clear" w:color="auto" w:fill="FFFFFF"/>
        </w:rPr>
        <w:t> ne peuvent pas récupérer les heures supplémentaires mais doivent bénéficier de 20 </w:t>
      </w:r>
      <w:r w:rsidRPr="00D763DB">
        <w:rPr>
          <w:rFonts w:cstheme="minorHAnsi"/>
          <w:bCs/>
          <w:color w:val="000000" w:themeColor="text1"/>
          <w:szCs w:val="22"/>
          <w:shd w:val="clear" w:color="auto" w:fill="FFFFFF"/>
        </w:rPr>
        <w:t>jours</w:t>
      </w:r>
      <w:r w:rsidRPr="00D763DB">
        <w:rPr>
          <w:rFonts w:cstheme="minorHAnsi"/>
          <w:color w:val="000000" w:themeColor="text1"/>
          <w:szCs w:val="22"/>
          <w:shd w:val="clear" w:color="auto" w:fill="FFFFFF"/>
        </w:rPr>
        <w:t> de RTT (Décret n° 2002-9 du 4 janvier 2002, art. 12).</w:t>
      </w:r>
    </w:p>
    <w:bookmarkEnd w:id="12"/>
    <w:p w14:paraId="6EF6E4F5" w14:textId="769F5003" w:rsidR="00BD228F" w:rsidRDefault="00BD228F" w:rsidP="00BD228F">
      <w:pPr>
        <w:jc w:val="both"/>
        <w:rPr>
          <w:color w:val="000000"/>
          <w:szCs w:val="24"/>
          <w:u w:val="single"/>
        </w:rPr>
      </w:pPr>
    </w:p>
    <w:p w14:paraId="5E990C9F" w14:textId="77777777" w:rsidR="00AD26D3" w:rsidRPr="00337722" w:rsidRDefault="00AD26D3" w:rsidP="00AD26D3">
      <w:pPr>
        <w:jc w:val="both"/>
        <w:rPr>
          <w:rFonts w:cs="Arial"/>
          <w:b/>
          <w:color w:val="00B0F0"/>
          <w:szCs w:val="24"/>
        </w:rPr>
      </w:pPr>
      <w:r w:rsidRPr="00337722">
        <w:rPr>
          <w:rFonts w:cs="Arial"/>
          <w:b/>
          <w:color w:val="00B0F0"/>
          <w:szCs w:val="24"/>
        </w:rPr>
        <w:t>Qu’est-ce qu’une Charte du temps ?</w:t>
      </w:r>
    </w:p>
    <w:p w14:paraId="308609AD" w14:textId="77777777" w:rsidR="00AD26D3" w:rsidRPr="0036733A" w:rsidRDefault="00AD26D3" w:rsidP="00AD26D3">
      <w:pPr>
        <w:jc w:val="both"/>
        <w:rPr>
          <w:rFonts w:cs="Arial"/>
          <w:i/>
          <w:color w:val="E36C0A" w:themeColor="accent6" w:themeShade="BF"/>
          <w:szCs w:val="24"/>
        </w:rPr>
      </w:pPr>
      <w:r w:rsidRPr="0036733A">
        <w:rPr>
          <w:rFonts w:cs="Arial"/>
          <w:i/>
          <w:color w:val="E36C0A" w:themeColor="accent6" w:themeShade="BF"/>
          <w:szCs w:val="24"/>
        </w:rPr>
        <w:t xml:space="preserve">L'indicateur 2.2.5 </w:t>
      </w:r>
      <w:r>
        <w:rPr>
          <w:rFonts w:cs="Arial"/>
          <w:i/>
          <w:color w:val="E36C0A" w:themeColor="accent6" w:themeShade="BF"/>
          <w:szCs w:val="24"/>
        </w:rPr>
        <w:t>– « C</w:t>
      </w:r>
      <w:r w:rsidRPr="0036733A">
        <w:rPr>
          <w:rFonts w:cs="Arial"/>
          <w:i/>
          <w:color w:val="E36C0A" w:themeColor="accent6" w:themeShade="BF"/>
          <w:szCs w:val="24"/>
        </w:rPr>
        <w:t>harte(s) du temps au sein de la collectivité</w:t>
      </w:r>
      <w:r>
        <w:rPr>
          <w:rFonts w:cs="Arial"/>
          <w:i/>
          <w:color w:val="E36C0A" w:themeColor="accent6" w:themeShade="BF"/>
          <w:szCs w:val="24"/>
        </w:rPr>
        <w:t> »</w:t>
      </w:r>
    </w:p>
    <w:p w14:paraId="212E0A7D" w14:textId="77777777" w:rsidR="00AD26D3" w:rsidRPr="002B61AD" w:rsidRDefault="00AD26D3" w:rsidP="00AD26D3">
      <w:pPr>
        <w:jc w:val="both"/>
        <w:rPr>
          <w:color w:val="000000"/>
          <w:szCs w:val="24"/>
        </w:rPr>
      </w:pPr>
      <w:r w:rsidRPr="002B61AD">
        <w:rPr>
          <w:color w:val="000000"/>
          <w:szCs w:val="24"/>
        </w:rPr>
        <w:t>Il s’agit d’un outil facultatif qui détermine les modalités de gestion, de contrôle et d</w:t>
      </w:r>
      <w:r>
        <w:rPr>
          <w:color w:val="000000"/>
          <w:szCs w:val="24"/>
        </w:rPr>
        <w:t>’</w:t>
      </w:r>
      <w:r w:rsidRPr="002B61AD">
        <w:rPr>
          <w:color w:val="000000"/>
          <w:szCs w:val="24"/>
        </w:rPr>
        <w:t>organisation du temps de travail</w:t>
      </w:r>
      <w:r>
        <w:rPr>
          <w:color w:val="000000"/>
          <w:szCs w:val="24"/>
        </w:rPr>
        <w:t xml:space="preserve"> des agents (horaires, cycles, etc.</w:t>
      </w:r>
      <w:r w:rsidRPr="002B61AD">
        <w:rPr>
          <w:color w:val="000000"/>
          <w:szCs w:val="24"/>
        </w:rPr>
        <w:t>) afin de mieux concilier le temps professionnel et le temps personnel (cf. Protocole d’accord relatif à l’égalité professionnelle entre les femmes et les hommes dans la fonction publique du 8 mars 2013).</w:t>
      </w:r>
    </w:p>
    <w:p w14:paraId="7B7DB2D8" w14:textId="77777777" w:rsidR="00AD26D3" w:rsidRDefault="00AD26D3" w:rsidP="00BD228F">
      <w:pPr>
        <w:jc w:val="both"/>
        <w:rPr>
          <w:color w:val="000000"/>
          <w:szCs w:val="24"/>
          <w:u w:val="single"/>
        </w:rPr>
      </w:pPr>
    </w:p>
    <w:p w14:paraId="642182BA" w14:textId="77777777" w:rsidR="0098425E" w:rsidRDefault="0098425E" w:rsidP="0098425E">
      <w:pPr>
        <w:jc w:val="both"/>
        <w:rPr>
          <w:rFonts w:cs="Arial"/>
          <w:b/>
          <w:color w:val="00B0F0"/>
          <w:szCs w:val="24"/>
        </w:rPr>
      </w:pPr>
      <w:r w:rsidRPr="00337722">
        <w:rPr>
          <w:rFonts w:cs="Arial"/>
          <w:b/>
          <w:color w:val="00B0F0"/>
          <w:szCs w:val="24"/>
        </w:rPr>
        <w:t>Pour certains cadres d’emplois, les agents perçoivent une prime forfaitaire pour travaux supplémentaires. Dois-je comptabiliser leurs heures supplémentaires dans cet indicateur ?</w:t>
      </w:r>
    </w:p>
    <w:p w14:paraId="74A107B7" w14:textId="77777777" w:rsidR="0098425E" w:rsidRPr="00EE1044" w:rsidRDefault="0098425E" w:rsidP="0098425E">
      <w:pPr>
        <w:jc w:val="both"/>
        <w:rPr>
          <w:rFonts w:cs="Arial"/>
          <w:i/>
          <w:color w:val="E36C0A" w:themeColor="accent6" w:themeShade="BF"/>
          <w:szCs w:val="24"/>
        </w:rPr>
      </w:pPr>
      <w:r w:rsidRPr="00CE345E">
        <w:rPr>
          <w:rFonts w:cs="Arial"/>
          <w:b/>
          <w:i/>
          <w:color w:val="FF0000"/>
          <w:szCs w:val="24"/>
        </w:rPr>
        <w:t>Indicateur 2.2.8 –</w:t>
      </w:r>
      <w:r w:rsidRPr="00CE345E">
        <w:rPr>
          <w:rFonts w:cs="Arial"/>
          <w:i/>
          <w:color w:val="FF0000"/>
          <w:szCs w:val="24"/>
        </w:rPr>
        <w:t xml:space="preserve"> </w:t>
      </w:r>
      <w:r>
        <w:rPr>
          <w:rFonts w:cs="Arial"/>
          <w:i/>
          <w:color w:val="E36C0A" w:themeColor="accent6" w:themeShade="BF"/>
          <w:szCs w:val="24"/>
        </w:rPr>
        <w:t>« </w:t>
      </w:r>
      <w:r w:rsidRPr="00E44723">
        <w:rPr>
          <w:rFonts w:cs="Arial"/>
          <w:i/>
          <w:color w:val="E36C0A" w:themeColor="accent6" w:themeShade="BF"/>
          <w:szCs w:val="24"/>
        </w:rPr>
        <w:t>Nombre d'heures supplémentaires et complémentaires réalisées</w:t>
      </w:r>
      <w:r>
        <w:rPr>
          <w:rFonts w:cs="Arial"/>
          <w:i/>
          <w:color w:val="E36C0A" w:themeColor="accent6" w:themeShade="BF"/>
          <w:szCs w:val="24"/>
        </w:rPr>
        <w:t xml:space="preserve"> </w:t>
      </w:r>
      <w:r w:rsidRPr="00E44723">
        <w:rPr>
          <w:rFonts w:cs="Arial"/>
          <w:i/>
          <w:color w:val="E36C0A" w:themeColor="accent6" w:themeShade="BF"/>
          <w:szCs w:val="24"/>
        </w:rPr>
        <w:t>et rémunérées en 20</w:t>
      </w:r>
      <w:r>
        <w:rPr>
          <w:rFonts w:cs="Arial"/>
          <w:i/>
          <w:color w:val="E36C0A" w:themeColor="accent6" w:themeShade="BF"/>
          <w:szCs w:val="24"/>
        </w:rPr>
        <w:t>21</w:t>
      </w:r>
      <w:r w:rsidRPr="00E44723">
        <w:rPr>
          <w:rFonts w:cs="Arial"/>
          <w:i/>
          <w:color w:val="E36C0A" w:themeColor="accent6" w:themeShade="BF"/>
          <w:szCs w:val="24"/>
        </w:rPr>
        <w:t xml:space="preserve"> par</w:t>
      </w:r>
      <w:r>
        <w:rPr>
          <w:rFonts w:cs="Arial"/>
          <w:i/>
          <w:color w:val="E36C0A" w:themeColor="accent6" w:themeShade="BF"/>
          <w:szCs w:val="24"/>
        </w:rPr>
        <w:t xml:space="preserve"> sexe,</w:t>
      </w:r>
      <w:r w:rsidRPr="00E44723">
        <w:rPr>
          <w:rFonts w:cs="Arial"/>
          <w:i/>
          <w:color w:val="E36C0A" w:themeColor="accent6" w:themeShade="BF"/>
          <w:szCs w:val="24"/>
        </w:rPr>
        <w:t xml:space="preserve"> filière et cadre d'emplois</w:t>
      </w:r>
      <w:r>
        <w:rPr>
          <w:rFonts w:cs="Arial"/>
          <w:i/>
          <w:color w:val="E36C0A" w:themeColor="accent6" w:themeShade="BF"/>
          <w:szCs w:val="24"/>
        </w:rPr>
        <w:t xml:space="preserve"> »</w:t>
      </w:r>
    </w:p>
    <w:p w14:paraId="60B1DD3B" w14:textId="77777777" w:rsidR="0098425E" w:rsidRDefault="0098425E" w:rsidP="0098425E">
      <w:pPr>
        <w:jc w:val="both"/>
        <w:rPr>
          <w:color w:val="000000"/>
          <w:szCs w:val="24"/>
        </w:rPr>
      </w:pPr>
      <w:r w:rsidRPr="00AB15BC">
        <w:rPr>
          <w:color w:val="000000"/>
          <w:szCs w:val="24"/>
        </w:rPr>
        <w:t>Les heures supplémentaires à comptabiliser ici sont bien les heures supplémentaires réalisées et rémunérées comme telles, avec des IHTS</w:t>
      </w:r>
      <w:r>
        <w:rPr>
          <w:color w:val="000000"/>
          <w:szCs w:val="24"/>
        </w:rPr>
        <w:t xml:space="preserve"> (</w:t>
      </w:r>
      <w:r>
        <w:rPr>
          <w:i/>
          <w:color w:val="000000"/>
          <w:szCs w:val="24"/>
        </w:rPr>
        <w:t>I</w:t>
      </w:r>
      <w:r w:rsidRPr="00F83670">
        <w:rPr>
          <w:i/>
          <w:color w:val="000000"/>
          <w:szCs w:val="24"/>
        </w:rPr>
        <w:t xml:space="preserve">ndemnités </w:t>
      </w:r>
      <w:r>
        <w:rPr>
          <w:i/>
          <w:color w:val="000000"/>
          <w:szCs w:val="24"/>
        </w:rPr>
        <w:t>H</w:t>
      </w:r>
      <w:r w:rsidRPr="00F83670">
        <w:rPr>
          <w:i/>
          <w:color w:val="000000"/>
          <w:szCs w:val="24"/>
        </w:rPr>
        <w:t xml:space="preserve">oraires pour </w:t>
      </w:r>
      <w:r>
        <w:rPr>
          <w:i/>
          <w:color w:val="000000"/>
          <w:szCs w:val="24"/>
        </w:rPr>
        <w:t>T</w:t>
      </w:r>
      <w:r w:rsidRPr="00F83670">
        <w:rPr>
          <w:i/>
          <w:color w:val="000000"/>
          <w:szCs w:val="24"/>
        </w:rPr>
        <w:t xml:space="preserve">ravaux </w:t>
      </w:r>
      <w:r>
        <w:rPr>
          <w:i/>
          <w:color w:val="000000"/>
          <w:szCs w:val="24"/>
        </w:rPr>
        <w:t>S</w:t>
      </w:r>
      <w:r w:rsidRPr="00F83670">
        <w:rPr>
          <w:i/>
          <w:color w:val="000000"/>
          <w:szCs w:val="24"/>
        </w:rPr>
        <w:t>upplémentaires</w:t>
      </w:r>
      <w:r>
        <w:rPr>
          <w:i/>
          <w:color w:val="000000"/>
          <w:szCs w:val="24"/>
        </w:rPr>
        <w:t>)</w:t>
      </w:r>
      <w:r w:rsidRPr="00AB15BC">
        <w:rPr>
          <w:color w:val="000000"/>
          <w:szCs w:val="24"/>
        </w:rPr>
        <w:t xml:space="preserve">. </w:t>
      </w:r>
    </w:p>
    <w:p w14:paraId="2281140D" w14:textId="77777777" w:rsidR="0098425E" w:rsidRDefault="0098425E" w:rsidP="0098425E">
      <w:pPr>
        <w:jc w:val="both"/>
        <w:rPr>
          <w:color w:val="000000"/>
          <w:szCs w:val="24"/>
        </w:rPr>
      </w:pPr>
      <w:r w:rsidRPr="00AB15BC">
        <w:rPr>
          <w:color w:val="000000"/>
          <w:szCs w:val="24"/>
        </w:rPr>
        <w:t>Il ne faut pas comptabiliser les heures supplémentaires qui n’ont pas été rémunérées ou qui l’ont été de manière forfaitaire. Ainsi, pour certains cadres d’emplois qui n’ont pas accès aux IHTS, il n’y aura pas d’heures supplémentaires à renseigner.</w:t>
      </w:r>
    </w:p>
    <w:p w14:paraId="4CEAF49D" w14:textId="77777777" w:rsidR="0098425E" w:rsidRDefault="0098425E" w:rsidP="0098425E">
      <w:pPr>
        <w:jc w:val="both"/>
        <w:rPr>
          <w:color w:val="000000"/>
          <w:szCs w:val="24"/>
        </w:rPr>
      </w:pPr>
    </w:p>
    <w:p w14:paraId="6CB70638" w14:textId="77777777" w:rsidR="0098425E" w:rsidRDefault="0098425E" w:rsidP="0098425E">
      <w:pPr>
        <w:tabs>
          <w:tab w:val="left" w:pos="8640"/>
        </w:tabs>
        <w:jc w:val="both"/>
        <w:rPr>
          <w:color w:val="000000"/>
          <w:szCs w:val="24"/>
        </w:rPr>
      </w:pPr>
      <w:r>
        <w:rPr>
          <w:rFonts w:cs="Arial"/>
          <w:i/>
          <w:szCs w:val="24"/>
        </w:rPr>
        <w:t>L’</w:t>
      </w:r>
      <w:r w:rsidRPr="00F83670">
        <w:rPr>
          <w:rFonts w:cs="Arial"/>
          <w:i/>
          <w:szCs w:val="24"/>
        </w:rPr>
        <w:t>Indicateur 2.2.8</w:t>
      </w:r>
      <w:r w:rsidRPr="00F83670">
        <w:rPr>
          <w:rFonts w:cs="Arial"/>
          <w:b/>
          <w:i/>
          <w:szCs w:val="24"/>
        </w:rPr>
        <w:t xml:space="preserve"> </w:t>
      </w:r>
      <w:r>
        <w:rPr>
          <w:color w:val="000000"/>
          <w:szCs w:val="24"/>
        </w:rPr>
        <w:t>est un cumul des heures supplémentaires et complémentaires.</w:t>
      </w:r>
    </w:p>
    <w:p w14:paraId="447694B8" w14:textId="77777777" w:rsidR="0098425E" w:rsidRDefault="0098425E" w:rsidP="0098425E">
      <w:pPr>
        <w:jc w:val="both"/>
        <w:rPr>
          <w:color w:val="000000"/>
          <w:szCs w:val="24"/>
        </w:rPr>
      </w:pPr>
    </w:p>
    <w:p w14:paraId="143432C9" w14:textId="77777777" w:rsidR="0098425E" w:rsidRDefault="0098425E" w:rsidP="0098425E">
      <w:pPr>
        <w:jc w:val="both"/>
        <w:rPr>
          <w:rFonts w:cs="Arial"/>
          <w:b/>
          <w:color w:val="00B0F0"/>
          <w:szCs w:val="24"/>
        </w:rPr>
      </w:pPr>
      <w:r w:rsidRPr="00337722">
        <w:rPr>
          <w:rFonts w:cs="Arial"/>
          <w:b/>
          <w:color w:val="00B0F0"/>
          <w:szCs w:val="24"/>
        </w:rPr>
        <w:t>Quelle est la différence entre les heures supplémentaires et complémentaires ?</w:t>
      </w:r>
    </w:p>
    <w:p w14:paraId="318CF7A0" w14:textId="77777777" w:rsidR="0098425E" w:rsidRDefault="0098425E" w:rsidP="0098425E">
      <w:pPr>
        <w:jc w:val="both"/>
        <w:rPr>
          <w:color w:val="000000"/>
          <w:szCs w:val="24"/>
          <w:u w:val="single"/>
        </w:rPr>
      </w:pPr>
      <w:r w:rsidRPr="00CE345E">
        <w:rPr>
          <w:rFonts w:cs="Arial"/>
          <w:b/>
          <w:i/>
          <w:color w:val="FF0000"/>
          <w:szCs w:val="24"/>
        </w:rPr>
        <w:t xml:space="preserve">Indicateur 2.2.8 </w:t>
      </w:r>
      <w:r>
        <w:rPr>
          <w:rFonts w:cs="Arial"/>
          <w:i/>
          <w:color w:val="E36C0A" w:themeColor="accent6" w:themeShade="BF"/>
          <w:szCs w:val="24"/>
        </w:rPr>
        <w:t>–</w:t>
      </w:r>
      <w:r w:rsidRPr="00F64915">
        <w:rPr>
          <w:rFonts w:cs="Arial"/>
          <w:i/>
          <w:color w:val="E36C0A" w:themeColor="accent6" w:themeShade="BF"/>
          <w:szCs w:val="24"/>
        </w:rPr>
        <w:t xml:space="preserve"> </w:t>
      </w:r>
      <w:r>
        <w:rPr>
          <w:rFonts w:cs="Arial"/>
          <w:i/>
          <w:color w:val="E36C0A" w:themeColor="accent6" w:themeShade="BF"/>
          <w:szCs w:val="24"/>
        </w:rPr>
        <w:t>« </w:t>
      </w:r>
      <w:r w:rsidRPr="00F64915">
        <w:rPr>
          <w:rFonts w:cs="Arial"/>
          <w:i/>
          <w:color w:val="E36C0A" w:themeColor="accent6" w:themeShade="BF"/>
          <w:szCs w:val="24"/>
        </w:rPr>
        <w:t>Heures supplémentaires par cadre d’emplois</w:t>
      </w:r>
      <w:r>
        <w:rPr>
          <w:rFonts w:cs="Arial"/>
          <w:i/>
          <w:color w:val="E36C0A" w:themeColor="accent6" w:themeShade="BF"/>
          <w:szCs w:val="24"/>
        </w:rPr>
        <w:t> »</w:t>
      </w:r>
    </w:p>
    <w:p w14:paraId="08048E38" w14:textId="77777777" w:rsidR="0098425E" w:rsidRPr="00075EA9" w:rsidRDefault="0098425E" w:rsidP="0098425E">
      <w:pPr>
        <w:spacing w:after="120"/>
        <w:jc w:val="both"/>
        <w:rPr>
          <w:color w:val="000000"/>
          <w:szCs w:val="24"/>
        </w:rPr>
      </w:pPr>
      <w:r w:rsidRPr="00075EA9">
        <w:rPr>
          <w:color w:val="000000"/>
          <w:szCs w:val="24"/>
        </w:rPr>
        <w:t xml:space="preserve">Les heures complémentaires sont les heures que l'employeur peut demander d'effectuer aux agents à temps non complet en plus de leur temps de </w:t>
      </w:r>
      <w:r w:rsidRPr="007C6A02">
        <w:rPr>
          <w:szCs w:val="24"/>
        </w:rPr>
        <w:t>travail habituel, jusqu’au seuil du temps complet.</w:t>
      </w:r>
    </w:p>
    <w:p w14:paraId="31D0ACB2" w14:textId="77777777" w:rsidR="0098425E" w:rsidRDefault="0098425E" w:rsidP="0098425E">
      <w:pPr>
        <w:jc w:val="both"/>
        <w:rPr>
          <w:color w:val="000000"/>
          <w:szCs w:val="24"/>
        </w:rPr>
      </w:pPr>
      <w:r w:rsidRPr="00075EA9">
        <w:rPr>
          <w:color w:val="000000"/>
          <w:szCs w:val="24"/>
        </w:rPr>
        <w:lastRenderedPageBreak/>
        <w:t>Les heures supplémentaires sont les heu</w:t>
      </w:r>
      <w:r>
        <w:rPr>
          <w:color w:val="000000"/>
          <w:szCs w:val="24"/>
        </w:rPr>
        <w:t xml:space="preserve">res effectuées au-delà du </w:t>
      </w:r>
      <w:r w:rsidRPr="00F43662">
        <w:rPr>
          <w:color w:val="000000"/>
          <w:szCs w:val="24"/>
        </w:rPr>
        <w:t>temps complet.</w:t>
      </w:r>
    </w:p>
    <w:p w14:paraId="2D7E04E7" w14:textId="77777777" w:rsidR="0098425E" w:rsidRDefault="0098425E" w:rsidP="0098425E">
      <w:pPr>
        <w:jc w:val="both"/>
        <w:rPr>
          <w:color w:val="000000"/>
          <w:szCs w:val="24"/>
        </w:rPr>
      </w:pPr>
    </w:p>
    <w:p w14:paraId="568EDC65" w14:textId="77777777" w:rsidR="0098425E" w:rsidRDefault="0098425E" w:rsidP="0098425E">
      <w:pPr>
        <w:jc w:val="both"/>
        <w:rPr>
          <w:rFonts w:cs="Arial"/>
          <w:b/>
          <w:color w:val="00B0F0"/>
          <w:szCs w:val="24"/>
        </w:rPr>
      </w:pPr>
      <w:r w:rsidRPr="00337722">
        <w:rPr>
          <w:rFonts w:cs="Arial"/>
          <w:b/>
          <w:color w:val="00B0F0"/>
          <w:szCs w:val="24"/>
        </w:rPr>
        <w:t>Est-ce que les vacations sont des heures supplémentaires ?</w:t>
      </w:r>
    </w:p>
    <w:p w14:paraId="41A9FDA9" w14:textId="02801616" w:rsidR="0098425E" w:rsidRDefault="0098425E" w:rsidP="0098425E">
      <w:pPr>
        <w:jc w:val="both"/>
        <w:rPr>
          <w:color w:val="000000"/>
          <w:szCs w:val="24"/>
          <w:u w:val="single"/>
        </w:rPr>
      </w:pPr>
      <w:r w:rsidRPr="00CE345E">
        <w:rPr>
          <w:rFonts w:cs="Arial"/>
          <w:b/>
          <w:i/>
          <w:color w:val="FF0000"/>
          <w:szCs w:val="24"/>
        </w:rPr>
        <w:t xml:space="preserve">Indicateur 2.2.8 </w:t>
      </w:r>
      <w:r>
        <w:rPr>
          <w:rFonts w:cs="Arial"/>
          <w:i/>
          <w:color w:val="E36C0A" w:themeColor="accent6" w:themeShade="BF"/>
          <w:szCs w:val="24"/>
        </w:rPr>
        <w:t>–</w:t>
      </w:r>
      <w:r w:rsidRPr="00F64915">
        <w:rPr>
          <w:rFonts w:cs="Arial"/>
          <w:i/>
          <w:color w:val="E36C0A" w:themeColor="accent6" w:themeShade="BF"/>
          <w:szCs w:val="24"/>
        </w:rPr>
        <w:t xml:space="preserve"> </w:t>
      </w:r>
      <w:r>
        <w:rPr>
          <w:rFonts w:cs="Arial"/>
          <w:i/>
          <w:color w:val="E36C0A" w:themeColor="accent6" w:themeShade="BF"/>
          <w:szCs w:val="24"/>
        </w:rPr>
        <w:t>« </w:t>
      </w:r>
      <w:r w:rsidRPr="00F64915">
        <w:rPr>
          <w:rFonts w:cs="Arial"/>
          <w:i/>
          <w:color w:val="E36C0A" w:themeColor="accent6" w:themeShade="BF"/>
          <w:szCs w:val="24"/>
        </w:rPr>
        <w:t>Heures supplémentaires par cadre d’emplois</w:t>
      </w:r>
      <w:r>
        <w:rPr>
          <w:rFonts w:cs="Arial"/>
          <w:i/>
          <w:color w:val="E36C0A" w:themeColor="accent6" w:themeShade="BF"/>
          <w:szCs w:val="24"/>
        </w:rPr>
        <w:t xml:space="preserve"> » </w:t>
      </w:r>
    </w:p>
    <w:p w14:paraId="3175169C" w14:textId="77777777" w:rsidR="0098425E" w:rsidRDefault="0098425E" w:rsidP="0098425E">
      <w:pPr>
        <w:jc w:val="both"/>
        <w:rPr>
          <w:color w:val="000000"/>
          <w:szCs w:val="24"/>
        </w:rPr>
      </w:pPr>
      <w:r w:rsidRPr="000503DB">
        <w:rPr>
          <w:b/>
          <w:color w:val="FF0000"/>
          <w:szCs w:val="24"/>
        </w:rPr>
        <w:t>Non</w:t>
      </w:r>
      <w:r>
        <w:rPr>
          <w:color w:val="000000"/>
          <w:szCs w:val="24"/>
        </w:rPr>
        <w:t xml:space="preserve">, les vacations ne sont pas des heures supplémentaires. Il s’agit de la rémunération des vacataires qui doit figurer dans </w:t>
      </w:r>
      <w:r w:rsidRPr="00F83670">
        <w:rPr>
          <w:rFonts w:cs="Arial"/>
          <w:i/>
          <w:szCs w:val="24"/>
        </w:rPr>
        <w:t>l’indicateur 3.3.1 « Rémunérations des agents sur emplois non permanents ayant travaillé au moins un jour durant l'année 2021 ».</w:t>
      </w:r>
    </w:p>
    <w:p w14:paraId="46B25C34" w14:textId="43881FA4" w:rsidR="0098425E" w:rsidRDefault="0098425E" w:rsidP="00BD228F">
      <w:pPr>
        <w:jc w:val="both"/>
        <w:rPr>
          <w:color w:val="000000"/>
          <w:szCs w:val="24"/>
          <w:u w:val="single"/>
        </w:rPr>
      </w:pPr>
    </w:p>
    <w:p w14:paraId="5CFFFEA8" w14:textId="7E5532AD" w:rsidR="00BD228F" w:rsidRDefault="00BD228F" w:rsidP="00BD228F">
      <w:pPr>
        <w:jc w:val="both"/>
        <w:rPr>
          <w:rFonts w:cs="Arial"/>
          <w:b/>
          <w:color w:val="00B0F0"/>
          <w:szCs w:val="24"/>
        </w:rPr>
      </w:pPr>
      <w:r w:rsidRPr="00337722">
        <w:rPr>
          <w:rFonts w:cs="Arial"/>
          <w:b/>
          <w:color w:val="00B0F0"/>
          <w:szCs w:val="24"/>
        </w:rPr>
        <w:t xml:space="preserve">Faut-il comptabiliser </w:t>
      </w:r>
      <w:r>
        <w:rPr>
          <w:rFonts w:cs="Arial"/>
          <w:b/>
          <w:color w:val="00B0F0"/>
          <w:szCs w:val="24"/>
        </w:rPr>
        <w:t>tous</w:t>
      </w:r>
      <w:r w:rsidRPr="00337722">
        <w:rPr>
          <w:rFonts w:cs="Arial"/>
          <w:b/>
          <w:color w:val="00B0F0"/>
          <w:szCs w:val="24"/>
        </w:rPr>
        <w:t xml:space="preserve"> les temps partiel</w:t>
      </w:r>
      <w:r>
        <w:rPr>
          <w:rFonts w:cs="Arial"/>
          <w:b/>
          <w:color w:val="00B0F0"/>
          <w:szCs w:val="24"/>
        </w:rPr>
        <w:t xml:space="preserve">s </w:t>
      </w:r>
      <w:r w:rsidRPr="00337722">
        <w:rPr>
          <w:rFonts w:cs="Arial"/>
          <w:b/>
          <w:color w:val="00B0F0"/>
          <w:szCs w:val="24"/>
        </w:rPr>
        <w:t>?</w:t>
      </w:r>
    </w:p>
    <w:p w14:paraId="63D95064" w14:textId="77777777" w:rsidR="00BD228F" w:rsidRPr="008A38C2" w:rsidRDefault="00BD228F" w:rsidP="00BD228F">
      <w:pPr>
        <w:jc w:val="both"/>
        <w:rPr>
          <w:rFonts w:cs="Arial"/>
          <w:i/>
          <w:color w:val="E36C0A" w:themeColor="accent6" w:themeShade="BF"/>
          <w:szCs w:val="24"/>
        </w:rPr>
      </w:pPr>
      <w:r w:rsidRPr="008A38C2">
        <w:rPr>
          <w:rFonts w:cs="Arial"/>
          <w:i/>
          <w:color w:val="E36C0A" w:themeColor="accent6" w:themeShade="BF"/>
          <w:szCs w:val="24"/>
        </w:rPr>
        <w:t>2.3.1 - Informations relatives au temps partiel prévu</w:t>
      </w:r>
      <w:r>
        <w:rPr>
          <w:rFonts w:cs="Arial"/>
          <w:i/>
          <w:color w:val="E36C0A" w:themeColor="accent6" w:themeShade="BF"/>
          <w:szCs w:val="24"/>
        </w:rPr>
        <w:t>es</w:t>
      </w:r>
      <w:r w:rsidRPr="008A38C2">
        <w:rPr>
          <w:rFonts w:cs="Arial"/>
          <w:i/>
          <w:color w:val="E36C0A" w:themeColor="accent6" w:themeShade="BF"/>
          <w:szCs w:val="24"/>
        </w:rPr>
        <w:t xml:space="preserve"> par </w:t>
      </w:r>
      <w:r w:rsidRPr="00D763DB">
        <w:rPr>
          <w:rFonts w:cs="Arial"/>
          <w:i/>
          <w:color w:val="E36C0A" w:themeColor="accent6" w:themeShade="BF"/>
          <w:szCs w:val="24"/>
        </w:rPr>
        <w:t>les articles L 612-1 et suivants du Code Général de la Fonction Publique (CGFP) (</w:t>
      </w:r>
      <w:r>
        <w:rPr>
          <w:rFonts w:cs="Arial"/>
          <w:i/>
          <w:color w:val="E36C0A" w:themeColor="accent6" w:themeShade="BF"/>
          <w:szCs w:val="24"/>
        </w:rPr>
        <w:t xml:space="preserve">anciennement article </w:t>
      </w:r>
      <w:r w:rsidRPr="008A38C2">
        <w:rPr>
          <w:rFonts w:cs="Arial"/>
          <w:i/>
          <w:color w:val="E36C0A" w:themeColor="accent6" w:themeShade="BF"/>
          <w:szCs w:val="24"/>
        </w:rPr>
        <w:t>60 de la loi n° 84-53 du 26 janvier 1984</w:t>
      </w:r>
      <w:r>
        <w:rPr>
          <w:rFonts w:cs="Arial"/>
          <w:i/>
          <w:color w:val="E36C0A" w:themeColor="accent6" w:themeShade="BF"/>
          <w:szCs w:val="24"/>
        </w:rPr>
        <w:t>)</w:t>
      </w:r>
    </w:p>
    <w:p w14:paraId="22EDF29B" w14:textId="77777777" w:rsidR="00BD228F" w:rsidRPr="002B61AD" w:rsidRDefault="00BD228F" w:rsidP="00BD228F">
      <w:pPr>
        <w:spacing w:after="120"/>
        <w:jc w:val="both"/>
        <w:rPr>
          <w:color w:val="000000"/>
          <w:szCs w:val="24"/>
        </w:rPr>
      </w:pPr>
      <w:r>
        <w:rPr>
          <w:color w:val="000000"/>
          <w:szCs w:val="24"/>
        </w:rPr>
        <w:t>O</w:t>
      </w:r>
      <w:r w:rsidRPr="002B61AD">
        <w:rPr>
          <w:color w:val="000000"/>
          <w:szCs w:val="24"/>
        </w:rPr>
        <w:t>ui, tous les temps part</w:t>
      </w:r>
      <w:r>
        <w:rPr>
          <w:color w:val="000000"/>
          <w:szCs w:val="24"/>
        </w:rPr>
        <w:t xml:space="preserve">iels doivent être comptabilisés </w:t>
      </w:r>
      <w:r w:rsidRPr="00F35625">
        <w:rPr>
          <w:color w:val="000000"/>
          <w:szCs w:val="24"/>
        </w:rPr>
        <w:t>(hormis le temps partiel thérapeutique)</w:t>
      </w:r>
      <w:r>
        <w:rPr>
          <w:color w:val="000000"/>
          <w:szCs w:val="24"/>
        </w:rPr>
        <w:t>.</w:t>
      </w:r>
    </w:p>
    <w:p w14:paraId="1D80FBD4" w14:textId="77777777" w:rsidR="00BD228F" w:rsidRPr="002B61AD" w:rsidRDefault="00BD228F" w:rsidP="00BD228F">
      <w:pPr>
        <w:spacing w:after="120"/>
        <w:jc w:val="both"/>
        <w:rPr>
          <w:color w:val="000000"/>
          <w:szCs w:val="24"/>
        </w:rPr>
      </w:pPr>
      <w:r>
        <w:rPr>
          <w:color w:val="000000"/>
          <w:szCs w:val="24"/>
        </w:rPr>
        <w:t>Pour rappel, le</w:t>
      </w:r>
      <w:r w:rsidRPr="002B61AD">
        <w:rPr>
          <w:color w:val="000000"/>
          <w:szCs w:val="24"/>
        </w:rPr>
        <w:t xml:space="preserve"> temps partiel est mis en place à la demande d’un agent. C’est une modalité d’ex</w:t>
      </w:r>
      <w:r>
        <w:rPr>
          <w:color w:val="000000"/>
          <w:szCs w:val="24"/>
        </w:rPr>
        <w:t>ercice du temps de travail. Cette modalité</w:t>
      </w:r>
      <w:r w:rsidRPr="002B61AD">
        <w:rPr>
          <w:color w:val="000000"/>
          <w:szCs w:val="24"/>
        </w:rPr>
        <w:t xml:space="preserve"> est exprimée en pourcentage du temps </w:t>
      </w:r>
      <w:r w:rsidRPr="009D6064">
        <w:rPr>
          <w:szCs w:val="24"/>
        </w:rPr>
        <w:t>complet ou du temps non complet figurant sur la décision individuelle d’autorisation d’exercice à te</w:t>
      </w:r>
      <w:r w:rsidRPr="002B61AD">
        <w:rPr>
          <w:color w:val="000000"/>
          <w:szCs w:val="24"/>
        </w:rPr>
        <w:t>mps partiel (exemple</w:t>
      </w:r>
      <w:r>
        <w:rPr>
          <w:color w:val="000000"/>
          <w:szCs w:val="24"/>
        </w:rPr>
        <w:t> </w:t>
      </w:r>
      <w:r w:rsidRPr="002B61AD">
        <w:rPr>
          <w:color w:val="000000"/>
          <w:szCs w:val="24"/>
        </w:rPr>
        <w:t>: un agent à 80%).</w:t>
      </w:r>
    </w:p>
    <w:p w14:paraId="7849AD7C" w14:textId="77777777" w:rsidR="00BD228F" w:rsidRPr="002B61AD" w:rsidRDefault="00BD228F" w:rsidP="00BD228F">
      <w:pPr>
        <w:spacing w:after="120"/>
        <w:jc w:val="both"/>
        <w:rPr>
          <w:color w:val="000000"/>
          <w:szCs w:val="24"/>
        </w:rPr>
      </w:pPr>
      <w:r w:rsidRPr="002B61AD">
        <w:rPr>
          <w:color w:val="000000"/>
          <w:szCs w:val="24"/>
        </w:rPr>
        <w:t xml:space="preserve">Le temps partiel de droit est accordé à un agent (titulaire ou contractuel) à temps complet et temps non </w:t>
      </w:r>
      <w:r w:rsidRPr="00D763DB">
        <w:rPr>
          <w:color w:val="000000"/>
          <w:szCs w:val="24"/>
        </w:rPr>
        <w:t>complet (article L 612-3 du CGFP</w:t>
      </w:r>
      <w:proofErr w:type="gramStart"/>
      <w:r w:rsidRPr="00D763DB">
        <w:rPr>
          <w:color w:val="000000"/>
          <w:szCs w:val="24"/>
        </w:rPr>
        <w:t>):</w:t>
      </w:r>
      <w:proofErr w:type="gramEnd"/>
    </w:p>
    <w:p w14:paraId="3D91541A" w14:textId="77777777" w:rsidR="00BD228F" w:rsidRPr="00D763DB" w:rsidRDefault="00BD228F" w:rsidP="00BD228F">
      <w:pPr>
        <w:pStyle w:val="Paragraphedeliste"/>
        <w:numPr>
          <w:ilvl w:val="0"/>
          <w:numId w:val="16"/>
        </w:numPr>
        <w:jc w:val="both"/>
        <w:rPr>
          <w:color w:val="000000"/>
          <w:szCs w:val="24"/>
        </w:rPr>
      </w:pPr>
      <w:proofErr w:type="gramStart"/>
      <w:r w:rsidRPr="007C5B0C">
        <w:rPr>
          <w:color w:val="000000"/>
          <w:szCs w:val="24"/>
        </w:rPr>
        <w:t>soit</w:t>
      </w:r>
      <w:proofErr w:type="gramEnd"/>
      <w:r w:rsidRPr="007C5B0C">
        <w:rPr>
          <w:color w:val="000000"/>
          <w:szCs w:val="24"/>
        </w:rPr>
        <w:t xml:space="preserve"> pour raisons familiales (à chaque naissance jusqu’au 3</w:t>
      </w:r>
      <w:r w:rsidRPr="007C5B0C">
        <w:rPr>
          <w:color w:val="000000"/>
          <w:szCs w:val="24"/>
          <w:vertAlign w:val="superscript"/>
        </w:rPr>
        <w:t>ème</w:t>
      </w:r>
      <w:r w:rsidRPr="007C5B0C">
        <w:rPr>
          <w:color w:val="000000"/>
          <w:szCs w:val="24"/>
        </w:rPr>
        <w:t xml:space="preserve"> anniversaire de l’enfant, à chaque adoption durant 3 ans à compter de l’arrivée au foyer de l’enfant, pour donner des soins à son conjoint, à un enfant ou à un ascendant atteint d’un handicap nécessitant la présence d’une tierce personne ou victime d’un accident ou d’une maladie grave)</w:t>
      </w:r>
      <w:r>
        <w:rPr>
          <w:color w:val="000000"/>
          <w:szCs w:val="24"/>
        </w:rPr>
        <w:t xml:space="preserve">. </w:t>
      </w:r>
      <w:r w:rsidRPr="00D763DB">
        <w:rPr>
          <w:color w:val="000000"/>
          <w:szCs w:val="24"/>
        </w:rPr>
        <w:t xml:space="preserve">Les fonctionnaires et agents contractuels bénéficiaires de plein droit d’un temps partiel annualisé à l'issue de leur congé de maternité, d'adoption ou de paternité et d'accueil de l'enfant doivent être inscrits dans </w:t>
      </w:r>
      <w:r w:rsidRPr="00D763DB">
        <w:rPr>
          <w:i/>
          <w:color w:val="F79646" w:themeColor="accent6"/>
          <w:szCs w:val="24"/>
        </w:rPr>
        <w:t>l’indicateur 2.3.6</w:t>
      </w:r>
      <w:r w:rsidRPr="00D763DB">
        <w:rPr>
          <w:color w:val="000000"/>
          <w:szCs w:val="24"/>
        </w:rPr>
        <w:t>.</w:t>
      </w:r>
    </w:p>
    <w:p w14:paraId="0B542C36" w14:textId="77777777" w:rsidR="00BD228F" w:rsidRDefault="00BD228F" w:rsidP="00BD228F">
      <w:pPr>
        <w:pStyle w:val="Paragraphedeliste"/>
        <w:spacing w:after="120"/>
        <w:jc w:val="both"/>
        <w:rPr>
          <w:color w:val="000000"/>
          <w:szCs w:val="24"/>
        </w:rPr>
      </w:pPr>
    </w:p>
    <w:p w14:paraId="3730C106" w14:textId="77777777" w:rsidR="00BD228F" w:rsidRPr="00D763DB" w:rsidRDefault="00BD228F" w:rsidP="00BD228F">
      <w:pPr>
        <w:pStyle w:val="Paragraphedeliste"/>
        <w:numPr>
          <w:ilvl w:val="0"/>
          <w:numId w:val="16"/>
        </w:numPr>
        <w:spacing w:after="120"/>
        <w:jc w:val="both"/>
        <w:rPr>
          <w:color w:val="000000"/>
          <w:szCs w:val="24"/>
        </w:rPr>
      </w:pPr>
      <w:proofErr w:type="gramStart"/>
      <w:r w:rsidRPr="004D537C">
        <w:rPr>
          <w:color w:val="000000"/>
          <w:szCs w:val="24"/>
        </w:rPr>
        <w:t>soit</w:t>
      </w:r>
      <w:proofErr w:type="gramEnd"/>
      <w:r w:rsidRPr="004D537C">
        <w:rPr>
          <w:color w:val="000000"/>
          <w:szCs w:val="24"/>
        </w:rPr>
        <w:t xml:space="preserve"> à certains travailleurs handicapés</w:t>
      </w:r>
    </w:p>
    <w:p w14:paraId="6469DFDD" w14:textId="77777777" w:rsidR="00BD228F" w:rsidRPr="00D763DB" w:rsidRDefault="00BD228F" w:rsidP="00BD228F">
      <w:pPr>
        <w:spacing w:after="120"/>
        <w:jc w:val="both"/>
        <w:rPr>
          <w:color w:val="000000"/>
          <w:szCs w:val="24"/>
        </w:rPr>
      </w:pPr>
      <w:r w:rsidRPr="00D763DB">
        <w:rPr>
          <w:color w:val="000000"/>
          <w:szCs w:val="24"/>
        </w:rPr>
        <w:t>Le temps partiel sur autorisation peut être accordé aux fonctionnaires et aux contractuels (employés depuis plus d’un an) à temps complet uniquement, sur leur demande et sous réserve des nécessités du service. Il ne peut être inférieur à un mi-temps (article L 612-1 du CGFP).</w:t>
      </w:r>
    </w:p>
    <w:p w14:paraId="4CBE1593" w14:textId="77777777" w:rsidR="00BD228F" w:rsidRPr="00AB15BC" w:rsidRDefault="00BD228F" w:rsidP="00BD228F">
      <w:pPr>
        <w:jc w:val="both"/>
        <w:rPr>
          <w:color w:val="000000"/>
          <w:szCs w:val="24"/>
        </w:rPr>
      </w:pPr>
    </w:p>
    <w:p w14:paraId="334E7EA5" w14:textId="77777777" w:rsidR="00BD228F" w:rsidRPr="00337722" w:rsidRDefault="00BD228F" w:rsidP="00BD228F">
      <w:pPr>
        <w:jc w:val="both"/>
        <w:rPr>
          <w:rFonts w:cs="Arial"/>
          <w:b/>
          <w:color w:val="00B0F0"/>
          <w:szCs w:val="24"/>
        </w:rPr>
      </w:pPr>
      <w:r w:rsidRPr="00337722">
        <w:rPr>
          <w:rFonts w:cs="Arial"/>
          <w:b/>
          <w:color w:val="00B0F0"/>
          <w:szCs w:val="24"/>
        </w:rPr>
        <w:t>Doit-on recenser uniquement les demandes initiales</w:t>
      </w:r>
      <w:r>
        <w:rPr>
          <w:rFonts w:cs="Arial"/>
          <w:b/>
          <w:color w:val="00B0F0"/>
          <w:szCs w:val="24"/>
        </w:rPr>
        <w:t xml:space="preserve"> de temps partiel</w:t>
      </w:r>
      <w:r w:rsidRPr="00337722">
        <w:rPr>
          <w:rFonts w:cs="Arial"/>
          <w:b/>
          <w:color w:val="00B0F0"/>
          <w:szCs w:val="24"/>
        </w:rPr>
        <w:t>, ou les renouvellements de demande également ?</w:t>
      </w:r>
    </w:p>
    <w:p w14:paraId="655D5C67" w14:textId="77777777" w:rsidR="00BD228F" w:rsidRPr="007B2DF9" w:rsidRDefault="00BD228F" w:rsidP="00BD228F">
      <w:pPr>
        <w:jc w:val="both"/>
        <w:rPr>
          <w:rFonts w:cstheme="minorHAnsi"/>
          <w:color w:val="000000"/>
          <w:szCs w:val="22"/>
        </w:rPr>
      </w:pPr>
      <w:r w:rsidRPr="007B2DF9">
        <w:rPr>
          <w:i/>
          <w:color w:val="F79646" w:themeColor="accent6"/>
          <w:szCs w:val="24"/>
        </w:rPr>
        <w:t>L’indicateur 2.3.1.1 « Nombre de demandes présentées »</w:t>
      </w:r>
      <w:r w:rsidRPr="007B2DF9">
        <w:rPr>
          <w:color w:val="000000"/>
          <w:szCs w:val="24"/>
        </w:rPr>
        <w:t xml:space="preserve"> - </w:t>
      </w:r>
      <w:r w:rsidRPr="007B2DF9">
        <w:rPr>
          <w:rFonts w:cstheme="minorHAnsi"/>
          <w:color w:val="000000"/>
          <w:szCs w:val="22"/>
        </w:rPr>
        <w:t xml:space="preserve">Vous devez renseigner les demandes ainsi que les renouvellements de demandes. </w:t>
      </w:r>
    </w:p>
    <w:p w14:paraId="49AEBACD" w14:textId="77777777" w:rsidR="00BD228F" w:rsidRPr="00F829B1" w:rsidRDefault="00BD228F" w:rsidP="00BD228F">
      <w:pPr>
        <w:jc w:val="both"/>
        <w:rPr>
          <w:rFonts w:cstheme="minorHAnsi"/>
          <w:szCs w:val="22"/>
        </w:rPr>
      </w:pPr>
      <w:r w:rsidRPr="007B2DF9">
        <w:rPr>
          <w:rFonts w:cstheme="minorHAnsi"/>
          <w:szCs w:val="22"/>
        </w:rPr>
        <w:t>Il s'agit du nombre de demandes présentées et non du nombre d'agents ayant présenté des demandes au cours de l'année (un agent peut avoir déposé deux demandes au cours de la même année.)</w:t>
      </w:r>
    </w:p>
    <w:p w14:paraId="4F412D14" w14:textId="77777777" w:rsidR="00BD228F" w:rsidRDefault="00BD228F" w:rsidP="00BD228F">
      <w:pPr>
        <w:jc w:val="both"/>
        <w:rPr>
          <w:color w:val="000000"/>
          <w:szCs w:val="24"/>
        </w:rPr>
      </w:pPr>
    </w:p>
    <w:p w14:paraId="126B339B" w14:textId="73E0598E" w:rsidR="00BD228F" w:rsidRDefault="00BD228F" w:rsidP="00BD228F">
      <w:pPr>
        <w:jc w:val="both"/>
        <w:rPr>
          <w:color w:val="000000"/>
          <w:szCs w:val="24"/>
        </w:rPr>
      </w:pPr>
      <w:r w:rsidRPr="00A61BE0">
        <w:rPr>
          <w:i/>
          <w:color w:val="F79646" w:themeColor="accent6"/>
          <w:szCs w:val="24"/>
        </w:rPr>
        <w:t>L</w:t>
      </w:r>
      <w:r w:rsidRPr="00A61BE0">
        <w:rPr>
          <w:rFonts w:cs="Arial"/>
          <w:i/>
          <w:color w:val="F79646" w:themeColor="accent6"/>
          <w:szCs w:val="24"/>
        </w:rPr>
        <w:t>’</w:t>
      </w:r>
      <w:r w:rsidRPr="00A65814">
        <w:rPr>
          <w:rFonts w:cs="Arial"/>
          <w:i/>
          <w:color w:val="E36C0A" w:themeColor="accent6" w:themeShade="BF"/>
          <w:szCs w:val="24"/>
        </w:rPr>
        <w:t>indicateur 2.3.1.3</w:t>
      </w:r>
      <w:r>
        <w:rPr>
          <w:color w:val="000000"/>
          <w:szCs w:val="24"/>
        </w:rPr>
        <w:t xml:space="preserve"> « Nombre de premières demandes satisfaites » fait référence aux demandes initiales de temps partiels effectuées par les agents.</w:t>
      </w:r>
    </w:p>
    <w:p w14:paraId="00D8A15D" w14:textId="6F3E9EB7" w:rsidR="00AD26D3" w:rsidRDefault="00AD26D3" w:rsidP="00BD228F">
      <w:pPr>
        <w:jc w:val="both"/>
        <w:rPr>
          <w:color w:val="000000"/>
          <w:szCs w:val="24"/>
        </w:rPr>
      </w:pPr>
    </w:p>
    <w:p w14:paraId="505BBB87" w14:textId="6A361D5B" w:rsidR="00E128A1" w:rsidRDefault="00E128A1" w:rsidP="00BD228F">
      <w:pPr>
        <w:jc w:val="both"/>
        <w:rPr>
          <w:color w:val="000000"/>
          <w:szCs w:val="24"/>
        </w:rPr>
      </w:pPr>
    </w:p>
    <w:p w14:paraId="39111ACE" w14:textId="603E1625" w:rsidR="00E128A1" w:rsidRDefault="00E128A1" w:rsidP="00BD228F">
      <w:pPr>
        <w:jc w:val="both"/>
        <w:rPr>
          <w:color w:val="000000"/>
          <w:szCs w:val="24"/>
        </w:rPr>
      </w:pPr>
    </w:p>
    <w:p w14:paraId="09A4616D" w14:textId="77777777" w:rsidR="00E128A1" w:rsidRDefault="00E128A1" w:rsidP="00AD26D3">
      <w:pPr>
        <w:jc w:val="both"/>
        <w:rPr>
          <w:b/>
          <w:color w:val="00B0F0"/>
        </w:rPr>
      </w:pPr>
    </w:p>
    <w:p w14:paraId="7C8E2344" w14:textId="7CDB71A9" w:rsidR="00AD26D3" w:rsidRPr="00664366" w:rsidRDefault="00AD26D3" w:rsidP="00AD26D3">
      <w:pPr>
        <w:jc w:val="both"/>
        <w:rPr>
          <w:color w:val="00B0F0"/>
          <w:szCs w:val="24"/>
        </w:rPr>
      </w:pPr>
      <w:r w:rsidRPr="00664366">
        <w:rPr>
          <w:b/>
          <w:color w:val="00B0F0"/>
        </w:rPr>
        <w:lastRenderedPageBreak/>
        <w:t>Comment renseigner les temps partiels thérapeutiques dans la partie « organisation du travail » ?</w:t>
      </w:r>
    </w:p>
    <w:p w14:paraId="73EBE385" w14:textId="0E946DA2" w:rsidR="00AD26D3" w:rsidRPr="00664366" w:rsidRDefault="00AD26D3" w:rsidP="00AD26D3">
      <w:pPr>
        <w:jc w:val="both"/>
        <w:rPr>
          <w:color w:val="000000"/>
        </w:rPr>
      </w:pPr>
      <w:r w:rsidRPr="00664366">
        <w:rPr>
          <w:color w:val="000000"/>
        </w:rPr>
        <w:t xml:space="preserve">Les </w:t>
      </w:r>
      <w:proofErr w:type="gramStart"/>
      <w:r w:rsidRPr="00664366">
        <w:rPr>
          <w:color w:val="000000"/>
        </w:rPr>
        <w:t>périodes de temps</w:t>
      </w:r>
      <w:proofErr w:type="gramEnd"/>
      <w:r w:rsidRPr="00664366">
        <w:rPr>
          <w:color w:val="000000"/>
        </w:rPr>
        <w:t xml:space="preserve"> partiel thérapeutique sont considérées comme du temps plein (</w:t>
      </w:r>
      <w:r w:rsidR="00E128A1">
        <w:rPr>
          <w:color w:val="000000"/>
        </w:rPr>
        <w:t>c</w:t>
      </w:r>
      <w:r w:rsidR="00E128A1" w:rsidRPr="00E128A1">
        <w:rPr>
          <w:color w:val="000000"/>
        </w:rPr>
        <w:t>irculaire NOR n°CPAF1807455C du 15 mai 2018 relative au temps partiel thérapeutique dans la fonction publique</w:t>
      </w:r>
      <w:r w:rsidR="00E128A1">
        <w:rPr>
          <w:color w:val="000000"/>
        </w:rPr>
        <w:t>)</w:t>
      </w:r>
      <w:r w:rsidRPr="00664366">
        <w:rPr>
          <w:color w:val="000000"/>
        </w:rPr>
        <w:t>. Les agents en temps partiel thérapeutique</w:t>
      </w:r>
      <w:r>
        <w:rPr>
          <w:color w:val="000000"/>
        </w:rPr>
        <w:t xml:space="preserve"> </w:t>
      </w:r>
      <w:r w:rsidRPr="00664366">
        <w:rPr>
          <w:color w:val="000000"/>
        </w:rPr>
        <w:t xml:space="preserve">sont à intégrer avec les agents à temps plein aux </w:t>
      </w:r>
      <w:r w:rsidRPr="00664366">
        <w:rPr>
          <w:rFonts w:cs="Arial"/>
          <w:i/>
          <w:color w:val="E36C0A" w:themeColor="accent6" w:themeShade="BF"/>
          <w:szCs w:val="24"/>
        </w:rPr>
        <w:t>indicateurs 2.3.2 et 2.3.4</w:t>
      </w:r>
      <w:r w:rsidRPr="00664366">
        <w:rPr>
          <w:color w:val="000000"/>
        </w:rPr>
        <w:t xml:space="preserve">. </w:t>
      </w:r>
    </w:p>
    <w:p w14:paraId="1F2604CF" w14:textId="77777777" w:rsidR="00AD26D3" w:rsidRPr="00AB15BC" w:rsidRDefault="00AD26D3" w:rsidP="00BD228F">
      <w:pPr>
        <w:jc w:val="both"/>
        <w:rPr>
          <w:color w:val="000000"/>
          <w:szCs w:val="24"/>
        </w:rPr>
      </w:pPr>
    </w:p>
    <w:p w14:paraId="3AA6DFF9" w14:textId="77777777" w:rsidR="00BD228F" w:rsidRDefault="00BD228F" w:rsidP="00BD228F">
      <w:pPr>
        <w:jc w:val="both"/>
        <w:rPr>
          <w:rFonts w:cs="Arial"/>
          <w:b/>
          <w:color w:val="00B0F0"/>
          <w:szCs w:val="24"/>
        </w:rPr>
      </w:pPr>
      <w:r w:rsidRPr="00337722">
        <w:rPr>
          <w:rFonts w:cs="Arial"/>
          <w:b/>
          <w:color w:val="00B0F0"/>
          <w:szCs w:val="24"/>
        </w:rPr>
        <w:t xml:space="preserve">Qu'est-ce que le télétravail ? </w:t>
      </w:r>
    </w:p>
    <w:p w14:paraId="2EEB2116" w14:textId="77777777" w:rsidR="00BD228F" w:rsidRPr="007B2DF9" w:rsidRDefault="00BD228F" w:rsidP="00BD228F">
      <w:pPr>
        <w:jc w:val="both"/>
        <w:rPr>
          <w:rFonts w:cs="Arial"/>
          <w:i/>
          <w:color w:val="E36C0A" w:themeColor="accent6" w:themeShade="BF"/>
          <w:szCs w:val="24"/>
        </w:rPr>
      </w:pPr>
      <w:r w:rsidRPr="007B2DF9">
        <w:rPr>
          <w:rFonts w:cs="Arial"/>
          <w:i/>
          <w:color w:val="E36C0A" w:themeColor="accent6" w:themeShade="BF"/>
          <w:szCs w:val="24"/>
        </w:rPr>
        <w:t>Indicateur 2.4.1 et 2.4.2 – « Télétravail »</w:t>
      </w:r>
    </w:p>
    <w:p w14:paraId="0D61035D" w14:textId="77777777" w:rsidR="00BD228F" w:rsidRPr="007B2DF9" w:rsidRDefault="00BD228F" w:rsidP="00BD228F">
      <w:pPr>
        <w:jc w:val="both"/>
        <w:rPr>
          <w:color w:val="000000"/>
          <w:szCs w:val="24"/>
        </w:rPr>
      </w:pPr>
      <w:r w:rsidRPr="007B2DF9">
        <w:rPr>
          <w:color w:val="000000"/>
          <w:szCs w:val="24"/>
        </w:rPr>
        <w:t>D’après l’article 2 du décret n°2016-151 du 11 février 2016 modifié par le décret du 5 mai 2020, et l’accord relatif à la mise en place du télétravail dans la fonction publique du 3 avril 2022, « </w:t>
      </w:r>
      <w:r w:rsidRPr="007B2DF9">
        <w:rPr>
          <w:i/>
        </w:rPr>
        <w:t>Le télétravail désigne toute forme d'organisation du travail dans laquelle les fonctions qui auraient pu être exercées par un agent dans les locaux où il est affecté sont réalisées hors de ces locaux en utilisant les technologies de l'information et de la communication</w:t>
      </w:r>
      <w:proofErr w:type="gramStart"/>
      <w:r w:rsidRPr="007B2DF9">
        <w:t>.</w:t>
      </w:r>
      <w:r w:rsidRPr="007B2DF9">
        <w:rPr>
          <w:color w:val="000000"/>
          <w:szCs w:val="24"/>
        </w:rPr>
        <w:t>»</w:t>
      </w:r>
      <w:proofErr w:type="gramEnd"/>
    </w:p>
    <w:p w14:paraId="5DCACD5E" w14:textId="77777777" w:rsidR="00BD228F" w:rsidRPr="007B2DF9" w:rsidRDefault="00BD228F" w:rsidP="00BD228F">
      <w:pPr>
        <w:jc w:val="both"/>
        <w:rPr>
          <w:color w:val="000000"/>
          <w:szCs w:val="24"/>
        </w:rPr>
      </w:pPr>
    </w:p>
    <w:p w14:paraId="48356D09" w14:textId="77777777" w:rsidR="00BD228F" w:rsidRPr="007B2DF9" w:rsidRDefault="00BD228F" w:rsidP="00BD228F">
      <w:pPr>
        <w:jc w:val="both"/>
      </w:pPr>
      <w:r w:rsidRPr="007B2DF9">
        <w:rPr>
          <w:color w:val="000000"/>
          <w:szCs w:val="24"/>
        </w:rPr>
        <w:t>Le décret n°2020-524 du 5 mai 2020 précise que « </w:t>
      </w:r>
      <w:r w:rsidRPr="007B2DF9">
        <w:rPr>
          <w:i/>
        </w:rPr>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r w:rsidRPr="007B2DF9">
        <w:t> ».</w:t>
      </w:r>
    </w:p>
    <w:p w14:paraId="44A4BC99" w14:textId="77777777" w:rsidR="00BD228F" w:rsidRDefault="00BD228F" w:rsidP="00BD228F">
      <w:pPr>
        <w:jc w:val="both"/>
      </w:pPr>
    </w:p>
    <w:p w14:paraId="7EE41A9C" w14:textId="77777777" w:rsidR="00BD228F" w:rsidRPr="007B2DF9" w:rsidRDefault="00BD228F" w:rsidP="00BD228F">
      <w:pPr>
        <w:jc w:val="both"/>
      </w:pPr>
      <w:r w:rsidRPr="007B2DF9">
        <w:rPr>
          <w:rStyle w:val="lev"/>
        </w:rPr>
        <w:t xml:space="preserve">Il est précisé que </w:t>
      </w:r>
      <w:r w:rsidRPr="007B2DF9">
        <w:t>les astreintes ainsi que les interventions réalisées pendant les astreintes ne constituent pas du télétravail.</w:t>
      </w:r>
    </w:p>
    <w:p w14:paraId="4D3A3E53" w14:textId="77777777" w:rsidR="00BD228F" w:rsidRPr="007B2DF9" w:rsidRDefault="00BD228F" w:rsidP="00BD228F">
      <w:pPr>
        <w:jc w:val="both"/>
        <w:rPr>
          <w:color w:val="000000"/>
          <w:szCs w:val="24"/>
        </w:rPr>
      </w:pPr>
    </w:p>
    <w:p w14:paraId="4E75CFEA" w14:textId="77777777" w:rsidR="00BD228F" w:rsidRPr="007B2DF9" w:rsidRDefault="00BD228F" w:rsidP="00BD228F">
      <w:pPr>
        <w:jc w:val="both"/>
        <w:rPr>
          <w:b/>
          <w:color w:val="00B0F0"/>
          <w:szCs w:val="24"/>
        </w:rPr>
      </w:pPr>
      <w:r w:rsidRPr="007B2DF9">
        <w:rPr>
          <w:b/>
          <w:color w:val="00B0F0"/>
          <w:szCs w:val="24"/>
        </w:rPr>
        <w:t>Faut-il comptabiliser le travail à distance effectué dans le cadre des confinements ?</w:t>
      </w:r>
    </w:p>
    <w:p w14:paraId="18B63514" w14:textId="77777777" w:rsidR="00BD228F" w:rsidRPr="00DB1E7C" w:rsidRDefault="00BD228F" w:rsidP="00BD228F">
      <w:pPr>
        <w:jc w:val="both"/>
        <w:rPr>
          <w:rFonts w:cs="Arial"/>
          <w:i/>
          <w:color w:val="E36C0A" w:themeColor="accent6" w:themeShade="BF"/>
          <w:szCs w:val="24"/>
        </w:rPr>
      </w:pPr>
      <w:r w:rsidRPr="007B2DF9">
        <w:rPr>
          <w:rFonts w:cs="Arial"/>
          <w:i/>
          <w:color w:val="E36C0A" w:themeColor="accent6" w:themeShade="BF"/>
          <w:szCs w:val="24"/>
        </w:rPr>
        <w:t>Indicateur 2.4.1 et 2.4.2. – « Télétravail »</w:t>
      </w:r>
    </w:p>
    <w:p w14:paraId="211EF76A" w14:textId="77777777" w:rsidR="00BD228F" w:rsidRPr="00063796" w:rsidRDefault="00BD228F" w:rsidP="00BD228F">
      <w:pPr>
        <w:jc w:val="both"/>
        <w:rPr>
          <w:color w:val="000000"/>
          <w:szCs w:val="24"/>
        </w:rPr>
      </w:pPr>
      <w:r w:rsidRPr="00063796">
        <w:rPr>
          <w:color w:val="000000"/>
          <w:szCs w:val="24"/>
        </w:rPr>
        <w:t xml:space="preserve">Non, </w:t>
      </w:r>
      <w:r>
        <w:rPr>
          <w:color w:val="000000"/>
          <w:szCs w:val="24"/>
        </w:rPr>
        <w:t>il faut comptabiliser uniquement le télétravail encadré par une délibération.</w:t>
      </w:r>
    </w:p>
    <w:p w14:paraId="5D5177B2" w14:textId="77777777" w:rsidR="00BD228F" w:rsidRPr="00C72249" w:rsidRDefault="00BD228F" w:rsidP="00BD228F">
      <w:pPr>
        <w:jc w:val="both"/>
        <w:rPr>
          <w:b/>
          <w:color w:val="000000"/>
          <w:szCs w:val="24"/>
          <w:highlight w:val="yellow"/>
        </w:rPr>
      </w:pPr>
    </w:p>
    <w:p w14:paraId="1969C840" w14:textId="77777777" w:rsidR="00BD228F" w:rsidRDefault="00BD228F" w:rsidP="00BD228F">
      <w:pPr>
        <w:jc w:val="both"/>
        <w:rPr>
          <w:rFonts w:cs="Arial"/>
          <w:b/>
          <w:color w:val="00B0F0"/>
          <w:szCs w:val="24"/>
        </w:rPr>
      </w:pPr>
      <w:r w:rsidRPr="00337722">
        <w:rPr>
          <w:rFonts w:cs="Arial"/>
          <w:b/>
          <w:color w:val="00B0F0"/>
          <w:szCs w:val="24"/>
        </w:rPr>
        <w:t>Qu’est-ce que le compte épargne temps ?</w:t>
      </w:r>
    </w:p>
    <w:p w14:paraId="0A33F7E6" w14:textId="77777777" w:rsidR="00BD228F" w:rsidRPr="003C796E" w:rsidRDefault="00BD228F" w:rsidP="00BD228F">
      <w:pPr>
        <w:jc w:val="both"/>
        <w:rPr>
          <w:rFonts w:cs="Arial"/>
          <w:i/>
          <w:color w:val="E36C0A" w:themeColor="accent6" w:themeShade="BF"/>
          <w:szCs w:val="24"/>
        </w:rPr>
      </w:pPr>
      <w:r>
        <w:rPr>
          <w:rFonts w:cs="Arial"/>
          <w:i/>
          <w:color w:val="E36C0A" w:themeColor="accent6" w:themeShade="BF"/>
          <w:szCs w:val="24"/>
        </w:rPr>
        <w:t xml:space="preserve">Indicateur </w:t>
      </w:r>
      <w:r w:rsidRPr="00FC10B1">
        <w:rPr>
          <w:rFonts w:cs="Arial"/>
          <w:i/>
          <w:color w:val="E36C0A" w:themeColor="accent6" w:themeShade="BF"/>
          <w:szCs w:val="24"/>
        </w:rPr>
        <w:t xml:space="preserve">2.2.3.1 </w:t>
      </w:r>
      <w:r>
        <w:rPr>
          <w:rFonts w:cs="Arial"/>
          <w:i/>
          <w:color w:val="E36C0A" w:themeColor="accent6" w:themeShade="BF"/>
          <w:szCs w:val="24"/>
        </w:rPr>
        <w:t>– « </w:t>
      </w:r>
      <w:r w:rsidRPr="00FC10B1">
        <w:rPr>
          <w:rFonts w:cs="Arial"/>
          <w:i/>
          <w:color w:val="E36C0A" w:themeColor="accent6" w:themeShade="BF"/>
          <w:szCs w:val="24"/>
        </w:rPr>
        <w:t>Nombre d'agents ayant un compte épargne temps (CET)</w:t>
      </w:r>
      <w:r>
        <w:rPr>
          <w:rFonts w:cs="Arial"/>
          <w:i/>
          <w:color w:val="E36C0A" w:themeColor="accent6" w:themeShade="BF"/>
          <w:szCs w:val="24"/>
        </w:rPr>
        <w:t> »</w:t>
      </w:r>
    </w:p>
    <w:p w14:paraId="06B9F253" w14:textId="77777777" w:rsidR="00BD228F" w:rsidRPr="00F84A6D" w:rsidRDefault="00BD228F" w:rsidP="00BD228F">
      <w:pPr>
        <w:jc w:val="both"/>
        <w:rPr>
          <w:color w:val="000000"/>
          <w:szCs w:val="24"/>
        </w:rPr>
      </w:pPr>
      <w:r w:rsidRPr="00F84A6D">
        <w:rPr>
          <w:color w:val="000000"/>
          <w:szCs w:val="24"/>
        </w:rPr>
        <w:t>Prévu par le décret n°2004-878 du 26 août 2004 modifié, le compte épargne-temps permet à son titulaire d’accumuler des droits à congés. Les agents titulaires et contractuels occupant un emploi à temps complet ou à temps non complet, employés</w:t>
      </w:r>
      <w:r>
        <w:rPr>
          <w:color w:val="000000"/>
          <w:szCs w:val="24"/>
        </w:rPr>
        <w:t xml:space="preserve"> de manière continue et ayant accompli au minimum une année de services, peuvent solliciter l’ouverture d’un compte épargne-temps.</w:t>
      </w:r>
    </w:p>
    <w:p w14:paraId="2691FD5F" w14:textId="77777777" w:rsidR="00BD228F" w:rsidRPr="003C796E" w:rsidRDefault="00BD228F" w:rsidP="00BD228F">
      <w:pPr>
        <w:jc w:val="both"/>
        <w:rPr>
          <w:color w:val="000000"/>
          <w:szCs w:val="24"/>
        </w:rPr>
      </w:pPr>
    </w:p>
    <w:p w14:paraId="49B1E739" w14:textId="77777777" w:rsidR="00BD228F" w:rsidRPr="004029D7" w:rsidRDefault="00BD228F" w:rsidP="00BD228F">
      <w:pPr>
        <w:jc w:val="both"/>
        <w:rPr>
          <w:rFonts w:cs="Arial"/>
          <w:b/>
          <w:color w:val="00B0F0"/>
          <w:szCs w:val="24"/>
        </w:rPr>
      </w:pPr>
      <w:r w:rsidRPr="004029D7">
        <w:rPr>
          <w:rFonts w:cs="Arial"/>
          <w:b/>
          <w:color w:val="00B0F0"/>
          <w:szCs w:val="24"/>
        </w:rPr>
        <w:t>Comment renseigner les jours de carence ?</w:t>
      </w:r>
    </w:p>
    <w:p w14:paraId="49005B03" w14:textId="77777777" w:rsidR="00BD228F" w:rsidRPr="007B2DF9" w:rsidRDefault="00BD228F" w:rsidP="00BD228F">
      <w:pPr>
        <w:jc w:val="both"/>
        <w:rPr>
          <w:rFonts w:cs="Arial"/>
          <w:i/>
          <w:color w:val="E36C0A" w:themeColor="accent6" w:themeShade="BF"/>
          <w:szCs w:val="24"/>
        </w:rPr>
      </w:pPr>
      <w:r w:rsidRPr="007B2DF9">
        <w:rPr>
          <w:rFonts w:cs="Arial"/>
          <w:i/>
          <w:color w:val="E36C0A" w:themeColor="accent6" w:themeShade="BF"/>
          <w:szCs w:val="24"/>
        </w:rPr>
        <w:t>Indicateur 2.1.8 – « Nombre de jours de carence par sexe, par catégorie hiérarchique et montant des sommes brutes »</w:t>
      </w:r>
    </w:p>
    <w:p w14:paraId="2DB04BBF" w14:textId="77777777" w:rsidR="00BD228F" w:rsidRPr="007B2DF9" w:rsidRDefault="00BD228F" w:rsidP="00BD228F">
      <w:pPr>
        <w:jc w:val="both"/>
        <w:rPr>
          <w:color w:val="000000"/>
          <w:szCs w:val="24"/>
        </w:rPr>
      </w:pPr>
      <w:r w:rsidRPr="007B2DF9">
        <w:rPr>
          <w:color w:val="000000"/>
          <w:szCs w:val="24"/>
        </w:rPr>
        <w:t xml:space="preserve">En application de l’article 115 de la loi n°2017-1837 du 30 décembre 2017 de finances pour 2018 (modifié par la loi n°2020-692 du 8 juin 2020), les agents publics titulaires, stagiaires et contractuels en </w:t>
      </w:r>
      <w:r w:rsidRPr="007B2DF9">
        <w:rPr>
          <w:color w:val="000000"/>
          <w:szCs w:val="24"/>
          <w:u w:val="single"/>
        </w:rPr>
        <w:t>congé de maladie ordinaire</w:t>
      </w:r>
      <w:r w:rsidRPr="007B2DF9">
        <w:rPr>
          <w:color w:val="000000"/>
          <w:szCs w:val="24"/>
        </w:rPr>
        <w:t xml:space="preserve"> ne bénéficient du maintien de leur rémunération par l’employeur qu’à compter du deuxième jour de congé. Sont à comptabiliser au sein de </w:t>
      </w:r>
      <w:r w:rsidRPr="007B2DF9">
        <w:rPr>
          <w:i/>
          <w:color w:val="F79646" w:themeColor="accent6"/>
          <w:szCs w:val="24"/>
        </w:rPr>
        <w:t>l’indicateur 2.1.8</w:t>
      </w:r>
      <w:r w:rsidRPr="007B2DF9">
        <w:rPr>
          <w:color w:val="F79646" w:themeColor="accent6"/>
          <w:szCs w:val="24"/>
        </w:rPr>
        <w:t xml:space="preserve"> </w:t>
      </w:r>
      <w:r w:rsidRPr="007B2DF9">
        <w:rPr>
          <w:color w:val="000000"/>
          <w:szCs w:val="24"/>
        </w:rPr>
        <w:t xml:space="preserve">les jours de carence des fonctionnaires et des contractuels (permanents et non permanents). </w:t>
      </w:r>
    </w:p>
    <w:p w14:paraId="5F56A711" w14:textId="77777777" w:rsidR="00BD228F" w:rsidRDefault="00BD228F" w:rsidP="00BD228F">
      <w:pPr>
        <w:jc w:val="both"/>
        <w:rPr>
          <w:color w:val="000000"/>
          <w:szCs w:val="24"/>
        </w:rPr>
      </w:pPr>
      <w:r w:rsidRPr="007B2DF9">
        <w:rPr>
          <w:color w:val="000000"/>
          <w:szCs w:val="24"/>
        </w:rPr>
        <w:t>Pour rappel, d’autres congés pour maladie n’impliquent pas de jour de carence (CITIS, congé de longue maladie, congé de longue durée…).</w:t>
      </w:r>
    </w:p>
    <w:p w14:paraId="1A54185C" w14:textId="77777777" w:rsidR="00BD228F" w:rsidRPr="004029D7" w:rsidRDefault="00BD228F" w:rsidP="00BD228F">
      <w:pPr>
        <w:jc w:val="both"/>
        <w:rPr>
          <w:color w:val="000000"/>
          <w:szCs w:val="24"/>
        </w:rPr>
      </w:pPr>
    </w:p>
    <w:p w14:paraId="27374B74" w14:textId="77777777" w:rsidR="00BD228F" w:rsidRPr="004029D7" w:rsidRDefault="00BD228F" w:rsidP="00BD228F">
      <w:pPr>
        <w:jc w:val="both"/>
        <w:rPr>
          <w:color w:val="000000"/>
          <w:szCs w:val="24"/>
        </w:rPr>
      </w:pPr>
    </w:p>
    <w:p w14:paraId="0F56664E" w14:textId="77777777" w:rsidR="00BD228F" w:rsidRPr="004029D7" w:rsidRDefault="00BD228F" w:rsidP="00BD228F">
      <w:pPr>
        <w:jc w:val="both"/>
        <w:rPr>
          <w:rFonts w:cs="Arial"/>
          <w:b/>
          <w:color w:val="00B0F0"/>
          <w:szCs w:val="24"/>
        </w:rPr>
      </w:pPr>
      <w:r w:rsidRPr="004029D7">
        <w:rPr>
          <w:rFonts w:cs="Arial"/>
          <w:b/>
          <w:color w:val="00B0F0"/>
          <w:szCs w:val="24"/>
        </w:rPr>
        <w:t>Comment renseigner les modalités de contrôle des arrêts maladie ?</w:t>
      </w:r>
    </w:p>
    <w:p w14:paraId="009F648E" w14:textId="77777777" w:rsidR="00BD228F" w:rsidRPr="007B2DF9" w:rsidRDefault="00BD228F" w:rsidP="00BD228F">
      <w:pPr>
        <w:jc w:val="both"/>
        <w:rPr>
          <w:rFonts w:cs="Arial"/>
          <w:i/>
          <w:color w:val="E36C0A" w:themeColor="accent6" w:themeShade="BF"/>
          <w:szCs w:val="24"/>
        </w:rPr>
      </w:pPr>
      <w:r w:rsidRPr="007B2DF9">
        <w:rPr>
          <w:rFonts w:cs="Arial"/>
          <w:i/>
          <w:color w:val="E36C0A" w:themeColor="accent6" w:themeShade="BF"/>
          <w:szCs w:val="24"/>
        </w:rPr>
        <w:t>Indicateur 2.1.9 – « Modalité de contrôle des arrêts maladie »</w:t>
      </w:r>
    </w:p>
    <w:p w14:paraId="7DE1411F" w14:textId="77777777" w:rsidR="00BD228F" w:rsidRPr="007B2DF9" w:rsidRDefault="00BD228F" w:rsidP="00BD228F">
      <w:pPr>
        <w:jc w:val="both"/>
        <w:rPr>
          <w:color w:val="000000"/>
          <w:szCs w:val="24"/>
        </w:rPr>
      </w:pPr>
    </w:p>
    <w:p w14:paraId="458C428A" w14:textId="77777777" w:rsidR="00BD228F" w:rsidRPr="007B2DF9" w:rsidRDefault="00BD228F" w:rsidP="00BD228F">
      <w:pPr>
        <w:jc w:val="both"/>
        <w:rPr>
          <w:rFonts w:cstheme="minorHAnsi"/>
          <w:szCs w:val="24"/>
        </w:rPr>
      </w:pPr>
      <w:r w:rsidRPr="007B2DF9">
        <w:rPr>
          <w:rFonts w:cstheme="minorHAnsi"/>
          <w:i/>
          <w:color w:val="F79646" w:themeColor="accent6"/>
          <w:szCs w:val="24"/>
        </w:rPr>
        <w:t>L'indicateur 2.1.9</w:t>
      </w:r>
      <w:r w:rsidRPr="007B2DF9">
        <w:rPr>
          <w:rFonts w:cstheme="minorHAnsi"/>
          <w:color w:val="F79646" w:themeColor="accent6"/>
          <w:szCs w:val="24"/>
        </w:rPr>
        <w:t xml:space="preserve"> </w:t>
      </w:r>
      <w:r w:rsidRPr="007B2DF9">
        <w:rPr>
          <w:rFonts w:cstheme="minorHAnsi"/>
          <w:szCs w:val="24"/>
        </w:rPr>
        <w:t>vise à recenser les modalités de contrôle des arrêts de maladie telles que rappelées par la circulaire du 31 mars 2017 relative au renforcement de la politique de prévention et de contrôle des absences pour raison de santé dans la fonction publique.</w:t>
      </w:r>
    </w:p>
    <w:p w14:paraId="30E18C50" w14:textId="77777777" w:rsidR="00BD228F" w:rsidRPr="007B2DF9" w:rsidRDefault="00BD228F" w:rsidP="00BD228F">
      <w:pPr>
        <w:jc w:val="both"/>
        <w:rPr>
          <w:rFonts w:cstheme="minorHAnsi"/>
          <w:b/>
          <w:bCs/>
          <w:szCs w:val="24"/>
        </w:rPr>
      </w:pPr>
    </w:p>
    <w:p w14:paraId="57D0AD48" w14:textId="66BCB8E9" w:rsidR="00BD228F" w:rsidRPr="00EF6B48" w:rsidRDefault="00BD228F" w:rsidP="00BD228F">
      <w:pPr>
        <w:jc w:val="both"/>
        <w:rPr>
          <w:rFonts w:cstheme="minorHAnsi"/>
          <w:szCs w:val="24"/>
        </w:rPr>
      </w:pPr>
      <w:r w:rsidRPr="007B2DF9">
        <w:rPr>
          <w:rFonts w:cstheme="minorHAnsi"/>
          <w:b/>
          <w:bCs/>
          <w:szCs w:val="24"/>
        </w:rPr>
        <w:t>Le contrôle administratif (</w:t>
      </w:r>
      <w:r w:rsidRPr="007B2DF9">
        <w:rPr>
          <w:rFonts w:cstheme="minorHAnsi"/>
          <w:b/>
          <w:bCs/>
          <w:i/>
          <w:color w:val="F79646" w:themeColor="accent6"/>
          <w:szCs w:val="24"/>
        </w:rPr>
        <w:t>indicateur 2.1.9.1</w:t>
      </w:r>
      <w:r w:rsidRPr="007B2DF9">
        <w:rPr>
          <w:rFonts w:cstheme="minorHAnsi"/>
          <w:b/>
          <w:bCs/>
          <w:szCs w:val="24"/>
        </w:rPr>
        <w:t xml:space="preserve">) </w:t>
      </w:r>
      <w:r w:rsidRPr="007B2DF9">
        <w:rPr>
          <w:rFonts w:cstheme="minorHAnsi"/>
          <w:szCs w:val="24"/>
        </w:rPr>
        <w:t>porte sur le respect des règles de transmission des arrêts de maladie ainsi que sur le respect des autorisations de cumul d’activités de l’agent.</w:t>
      </w:r>
      <w:r w:rsidRPr="00EF6B48">
        <w:rPr>
          <w:rFonts w:cstheme="minorHAnsi"/>
          <w:szCs w:val="24"/>
        </w:rPr>
        <w:t xml:space="preserve"> L’agent doit transmettre à l'autorité territoriale dont il relève un avis d'interruption de travail dans un délai de 48 heures. En cas de manquement à cette obligation, l'autorité territoriale informe l'agent de la réduction de la rémunération à laquelle il s'expose en cas de nouvel envoi tardif dans une période de 24 mois. Si, dans cette période, l'agent transmet de nouveau tardivement un avis d'interruption de travail, l'autorité territoriale est fondée à réduire de moitié sa rémunération entre la date de prescription de l'arrêt et la date effective d'envoi de l'avis d'arrêt de travail. La réduction de la rémunération n'est pas applicable si le fonctionnaire est hospitalisé ou s'il justifie, dans le délai de huit jours, de son incapacité à transmettre l'avis d'interruption de travail dans le délai imparti (article 15 du décret n° 87-602 du 30 juillet 1987). Un contrôle administratif des autorisations de cumul d’activités de l’agent placé en congé de maladie peut également être effectué par l’employeur afin de s’assurer que l’activité exercée au titre du cumul est compatible avec l’état de santé ayant justifié le placement en congé de maladie.</w:t>
      </w:r>
    </w:p>
    <w:p w14:paraId="7B948349" w14:textId="77777777" w:rsidR="00BD228F" w:rsidRPr="00EF6B48" w:rsidRDefault="00BD228F" w:rsidP="00BD228F">
      <w:pPr>
        <w:jc w:val="both"/>
        <w:rPr>
          <w:rFonts w:cstheme="minorHAnsi"/>
          <w:szCs w:val="24"/>
        </w:rPr>
      </w:pPr>
    </w:p>
    <w:p w14:paraId="0B7D8973" w14:textId="77777777" w:rsidR="00BD228F" w:rsidRPr="00EF6B48" w:rsidRDefault="00BD228F" w:rsidP="00BD228F">
      <w:pPr>
        <w:jc w:val="both"/>
        <w:rPr>
          <w:rFonts w:cstheme="minorHAnsi"/>
          <w:szCs w:val="24"/>
        </w:rPr>
      </w:pPr>
      <w:r w:rsidRPr="007B2DF9">
        <w:rPr>
          <w:rFonts w:cstheme="minorHAnsi"/>
          <w:b/>
          <w:bCs/>
          <w:szCs w:val="24"/>
        </w:rPr>
        <w:t>Le contrôle médical (</w:t>
      </w:r>
      <w:r w:rsidRPr="007B2DF9">
        <w:rPr>
          <w:rFonts w:cstheme="minorHAnsi"/>
          <w:b/>
          <w:bCs/>
          <w:i/>
          <w:color w:val="F79646" w:themeColor="accent6"/>
          <w:szCs w:val="24"/>
        </w:rPr>
        <w:t>indicateur 2.1.9.2</w:t>
      </w:r>
      <w:r w:rsidRPr="007B2DF9">
        <w:rPr>
          <w:rFonts w:cstheme="minorHAnsi"/>
          <w:b/>
          <w:bCs/>
          <w:szCs w:val="24"/>
        </w:rPr>
        <w:t xml:space="preserve">) </w:t>
      </w:r>
      <w:r w:rsidRPr="007B2DF9">
        <w:rPr>
          <w:rFonts w:cstheme="minorHAnsi"/>
          <w:szCs w:val="24"/>
        </w:rPr>
        <w:t>vise à s’assurer que l’agent placé en congé de maladie</w:t>
      </w:r>
      <w:r w:rsidRPr="00EF6B48">
        <w:rPr>
          <w:rFonts w:cstheme="minorHAnsi"/>
          <w:szCs w:val="24"/>
        </w:rPr>
        <w:t xml:space="preserve"> remplit les conditions liées à son état de santé pour bénéficier de ce congé. L’autorité hiérarchique peut ordonner une contre-visite médicale assurée par un médecin agréé à laquelle l’agent doit se soumettre sous peine d’interruption du versement de sa rémunération et de perte du bénéfice du congé, après mise en demeure, en cas de refus répétés et sans motif valable de se soumettre au contrôle (articles 15, 29 et</w:t>
      </w:r>
      <w:r>
        <w:rPr>
          <w:rFonts w:cstheme="minorHAnsi"/>
          <w:szCs w:val="24"/>
        </w:rPr>
        <w:t xml:space="preserve"> </w:t>
      </w:r>
      <w:r w:rsidRPr="00EF6B48">
        <w:rPr>
          <w:rFonts w:cstheme="minorHAnsi"/>
          <w:szCs w:val="24"/>
        </w:rPr>
        <w:t>34 du décret du 30 juillet 1987 précité applicables aux fonctionnaires relevant du régime spécial –article 42 du décret n°91-298 du 20 mars 1991 pour les fonctionnaires relevant du régime général de la sécurité sociale - article 12 décret n°88-145 du 15 février 1988 pour les agents contractuels).</w:t>
      </w:r>
    </w:p>
    <w:p w14:paraId="6A0EB30D" w14:textId="27A86408" w:rsidR="00BD228F" w:rsidRDefault="00BD228F" w:rsidP="00BD228F">
      <w:pPr>
        <w:jc w:val="both"/>
        <w:rPr>
          <w:color w:val="000000"/>
          <w:szCs w:val="24"/>
        </w:rPr>
      </w:pPr>
    </w:p>
    <w:p w14:paraId="02123D4F" w14:textId="558B3E6D" w:rsidR="000A727B" w:rsidRDefault="000A727B" w:rsidP="00BD228F">
      <w:pPr>
        <w:jc w:val="both"/>
        <w:rPr>
          <w:color w:val="000000"/>
          <w:szCs w:val="24"/>
        </w:rPr>
      </w:pPr>
    </w:p>
    <w:p w14:paraId="59E6AE64" w14:textId="6AB8D3BA" w:rsidR="000A727B" w:rsidRDefault="000A727B" w:rsidP="00BD228F">
      <w:pPr>
        <w:jc w:val="both"/>
        <w:rPr>
          <w:color w:val="000000"/>
          <w:szCs w:val="24"/>
        </w:rPr>
      </w:pPr>
    </w:p>
    <w:p w14:paraId="4F9F8174" w14:textId="789D4F11" w:rsidR="000A727B" w:rsidRDefault="000A727B" w:rsidP="00BD228F">
      <w:pPr>
        <w:jc w:val="both"/>
        <w:rPr>
          <w:color w:val="000000"/>
          <w:szCs w:val="24"/>
        </w:rPr>
      </w:pPr>
    </w:p>
    <w:p w14:paraId="45EF4539" w14:textId="55D71A33" w:rsidR="000A727B" w:rsidRDefault="000A727B" w:rsidP="00BD228F">
      <w:pPr>
        <w:jc w:val="both"/>
        <w:rPr>
          <w:color w:val="000000"/>
          <w:szCs w:val="24"/>
        </w:rPr>
      </w:pPr>
    </w:p>
    <w:p w14:paraId="381502E0" w14:textId="7E7ABF84" w:rsidR="000A727B" w:rsidRDefault="000A727B" w:rsidP="00BD228F">
      <w:pPr>
        <w:jc w:val="both"/>
        <w:rPr>
          <w:color w:val="000000"/>
          <w:szCs w:val="24"/>
        </w:rPr>
      </w:pPr>
    </w:p>
    <w:p w14:paraId="46122995" w14:textId="6F8192E7" w:rsidR="000A727B" w:rsidRDefault="000A727B" w:rsidP="00BD228F">
      <w:pPr>
        <w:jc w:val="both"/>
        <w:rPr>
          <w:color w:val="000000"/>
          <w:szCs w:val="24"/>
        </w:rPr>
      </w:pPr>
    </w:p>
    <w:p w14:paraId="58ED9802" w14:textId="7E9F609B" w:rsidR="000A727B" w:rsidRDefault="000A727B" w:rsidP="00BD228F">
      <w:pPr>
        <w:jc w:val="both"/>
        <w:rPr>
          <w:color w:val="000000"/>
          <w:szCs w:val="24"/>
        </w:rPr>
      </w:pPr>
    </w:p>
    <w:p w14:paraId="434A28AC" w14:textId="78A64E7A" w:rsidR="000A727B" w:rsidRDefault="000A727B" w:rsidP="00BD228F">
      <w:pPr>
        <w:jc w:val="both"/>
        <w:rPr>
          <w:color w:val="000000"/>
          <w:szCs w:val="24"/>
        </w:rPr>
      </w:pPr>
    </w:p>
    <w:p w14:paraId="1F1DA964" w14:textId="6445719E" w:rsidR="000A727B" w:rsidRDefault="000A727B" w:rsidP="00BD228F">
      <w:pPr>
        <w:jc w:val="both"/>
        <w:rPr>
          <w:color w:val="000000"/>
          <w:szCs w:val="24"/>
        </w:rPr>
      </w:pPr>
    </w:p>
    <w:p w14:paraId="5724A0AD" w14:textId="4B76CA73" w:rsidR="000A727B" w:rsidRDefault="000A727B" w:rsidP="00BD228F">
      <w:pPr>
        <w:jc w:val="both"/>
        <w:rPr>
          <w:color w:val="000000"/>
          <w:szCs w:val="24"/>
        </w:rPr>
      </w:pPr>
    </w:p>
    <w:p w14:paraId="274186C1" w14:textId="59594AA5" w:rsidR="000A727B" w:rsidRDefault="000A727B" w:rsidP="00BD228F">
      <w:pPr>
        <w:jc w:val="both"/>
        <w:rPr>
          <w:color w:val="000000"/>
          <w:szCs w:val="24"/>
        </w:rPr>
      </w:pPr>
    </w:p>
    <w:p w14:paraId="5191793A" w14:textId="1D9731D6" w:rsidR="000A727B" w:rsidRDefault="000A727B" w:rsidP="00BD228F">
      <w:pPr>
        <w:jc w:val="both"/>
        <w:rPr>
          <w:color w:val="000000"/>
          <w:szCs w:val="24"/>
        </w:rPr>
      </w:pPr>
    </w:p>
    <w:p w14:paraId="4C5FA1F4" w14:textId="5708A146" w:rsidR="000A727B" w:rsidRDefault="000A727B" w:rsidP="00BD228F">
      <w:pPr>
        <w:jc w:val="both"/>
        <w:rPr>
          <w:color w:val="000000"/>
          <w:szCs w:val="24"/>
        </w:rPr>
      </w:pPr>
    </w:p>
    <w:p w14:paraId="011FE1E9" w14:textId="2AD7A297" w:rsidR="000A727B" w:rsidRDefault="000A727B" w:rsidP="00BD228F">
      <w:pPr>
        <w:jc w:val="both"/>
        <w:rPr>
          <w:color w:val="000000"/>
          <w:szCs w:val="24"/>
        </w:rPr>
      </w:pPr>
    </w:p>
    <w:p w14:paraId="2D85366D" w14:textId="563A6128" w:rsidR="000A727B" w:rsidRDefault="000A727B" w:rsidP="00BD228F">
      <w:pPr>
        <w:jc w:val="both"/>
        <w:rPr>
          <w:color w:val="000000"/>
          <w:szCs w:val="24"/>
        </w:rPr>
      </w:pPr>
    </w:p>
    <w:p w14:paraId="18AE30F2" w14:textId="21462927" w:rsidR="000A727B" w:rsidRDefault="000A727B" w:rsidP="00BD228F">
      <w:pPr>
        <w:jc w:val="both"/>
        <w:rPr>
          <w:color w:val="000000"/>
          <w:szCs w:val="24"/>
        </w:rPr>
      </w:pPr>
    </w:p>
    <w:p w14:paraId="1BA571EC" w14:textId="6C79AA44" w:rsidR="000A727B" w:rsidRDefault="000A727B" w:rsidP="00BD228F">
      <w:pPr>
        <w:jc w:val="both"/>
        <w:rPr>
          <w:color w:val="000000"/>
          <w:szCs w:val="24"/>
        </w:rPr>
      </w:pPr>
    </w:p>
    <w:p w14:paraId="1285F5AE" w14:textId="67CFD1A2" w:rsidR="000A727B" w:rsidRDefault="000A727B" w:rsidP="00BD228F">
      <w:pPr>
        <w:jc w:val="both"/>
        <w:rPr>
          <w:color w:val="000000"/>
          <w:szCs w:val="24"/>
        </w:rPr>
      </w:pPr>
    </w:p>
    <w:p w14:paraId="6917ADE0" w14:textId="20226943" w:rsidR="009300E9" w:rsidRPr="0042712C" w:rsidRDefault="009300E9" w:rsidP="009300E9">
      <w:pPr>
        <w:pStyle w:val="Titre1"/>
        <w:tabs>
          <w:tab w:val="center" w:pos="4819"/>
          <w:tab w:val="left" w:pos="6720"/>
        </w:tabs>
      </w:pPr>
      <w:bookmarkStart w:id="13" w:name="_Toc104276127"/>
      <w:r w:rsidRPr="0042712C">
        <w:lastRenderedPageBreak/>
        <w:t>Rémunérations</w:t>
      </w:r>
      <w:bookmarkEnd w:id="13"/>
    </w:p>
    <w:p w14:paraId="4F38174C" w14:textId="77777777" w:rsidR="004D5158" w:rsidRDefault="004D5158" w:rsidP="009300E9">
      <w:pPr>
        <w:jc w:val="both"/>
        <w:rPr>
          <w:rFonts w:cs="Arial"/>
          <w:b/>
          <w:color w:val="00B0F0"/>
          <w:szCs w:val="24"/>
        </w:rPr>
      </w:pPr>
    </w:p>
    <w:p w14:paraId="4C7652E6" w14:textId="58E11D91" w:rsidR="009300E9" w:rsidRDefault="009300E9" w:rsidP="009300E9">
      <w:pPr>
        <w:jc w:val="both"/>
        <w:rPr>
          <w:rFonts w:cs="Arial"/>
          <w:b/>
          <w:color w:val="00B0F0"/>
          <w:szCs w:val="24"/>
        </w:rPr>
      </w:pPr>
      <w:r w:rsidRPr="00337722">
        <w:rPr>
          <w:rFonts w:cs="Arial"/>
          <w:b/>
          <w:color w:val="00B0F0"/>
          <w:szCs w:val="24"/>
        </w:rPr>
        <w:t>Faut-il compt</w:t>
      </w:r>
      <w:r>
        <w:rPr>
          <w:rFonts w:cs="Arial"/>
          <w:b/>
          <w:color w:val="00B0F0"/>
          <w:szCs w:val="24"/>
        </w:rPr>
        <w:t>abiliser</w:t>
      </w:r>
      <w:r w:rsidRPr="00337722">
        <w:rPr>
          <w:rFonts w:cs="Arial"/>
          <w:b/>
          <w:color w:val="00B0F0"/>
          <w:szCs w:val="24"/>
        </w:rPr>
        <w:t xml:space="preserve"> </w:t>
      </w:r>
      <w:r>
        <w:rPr>
          <w:rFonts w:cs="Arial"/>
          <w:b/>
          <w:color w:val="00B0F0"/>
          <w:szCs w:val="24"/>
        </w:rPr>
        <w:t>l</w:t>
      </w:r>
      <w:r w:rsidRPr="00337722">
        <w:rPr>
          <w:rFonts w:cs="Arial"/>
          <w:b/>
          <w:color w:val="00B0F0"/>
          <w:szCs w:val="24"/>
        </w:rPr>
        <w:t xml:space="preserve">es élus </w:t>
      </w:r>
      <w:r>
        <w:rPr>
          <w:rFonts w:cs="Arial"/>
          <w:b/>
          <w:color w:val="00B0F0"/>
          <w:szCs w:val="24"/>
        </w:rPr>
        <w:t xml:space="preserve">et </w:t>
      </w:r>
      <w:r w:rsidRPr="00337722">
        <w:rPr>
          <w:rFonts w:cs="Arial"/>
          <w:b/>
          <w:color w:val="00B0F0"/>
          <w:szCs w:val="24"/>
        </w:rPr>
        <w:t>trésorier</w:t>
      </w:r>
      <w:r>
        <w:rPr>
          <w:rFonts w:cs="Arial"/>
          <w:b/>
          <w:color w:val="00B0F0"/>
          <w:szCs w:val="24"/>
        </w:rPr>
        <w:t>s</w:t>
      </w:r>
      <w:r w:rsidRPr="00337722">
        <w:rPr>
          <w:rFonts w:cs="Arial"/>
          <w:b/>
          <w:color w:val="00B0F0"/>
          <w:szCs w:val="24"/>
        </w:rPr>
        <w:t xml:space="preserve"> ?</w:t>
      </w:r>
    </w:p>
    <w:p w14:paraId="72572A4D" w14:textId="77777777" w:rsidR="009300E9" w:rsidRPr="005C452D" w:rsidRDefault="009300E9" w:rsidP="009300E9">
      <w:pPr>
        <w:jc w:val="both"/>
        <w:rPr>
          <w:rFonts w:cs="Arial"/>
          <w:i/>
          <w:color w:val="E36C0A" w:themeColor="accent6" w:themeShade="BF"/>
          <w:szCs w:val="24"/>
        </w:rPr>
      </w:pPr>
      <w:r w:rsidRPr="005C452D">
        <w:rPr>
          <w:rFonts w:cs="Arial"/>
          <w:i/>
          <w:color w:val="E36C0A" w:themeColor="accent6" w:themeShade="BF"/>
          <w:szCs w:val="24"/>
        </w:rPr>
        <w:t xml:space="preserve">Indicateurs </w:t>
      </w:r>
      <w:r>
        <w:rPr>
          <w:rFonts w:cs="Arial"/>
          <w:i/>
          <w:color w:val="E36C0A" w:themeColor="accent6" w:themeShade="BF"/>
          <w:szCs w:val="24"/>
        </w:rPr>
        <w:t>« </w:t>
      </w:r>
      <w:r w:rsidRPr="004D5850">
        <w:rPr>
          <w:rFonts w:cs="Arial"/>
          <w:i/>
          <w:color w:val="E36C0A" w:themeColor="accent6" w:themeShade="BF"/>
          <w:szCs w:val="24"/>
        </w:rPr>
        <w:t>Effectifs</w:t>
      </w:r>
      <w:r>
        <w:rPr>
          <w:rFonts w:cs="Arial"/>
          <w:i/>
          <w:color w:val="E36C0A" w:themeColor="accent6" w:themeShade="BF"/>
          <w:szCs w:val="24"/>
        </w:rPr>
        <w:t> », « Rémunérations », …</w:t>
      </w:r>
    </w:p>
    <w:p w14:paraId="14FEC9A1" w14:textId="77777777" w:rsidR="009300E9" w:rsidRDefault="009300E9" w:rsidP="009300E9">
      <w:pPr>
        <w:jc w:val="both"/>
        <w:rPr>
          <w:rFonts w:cs="Arial"/>
          <w:color w:val="000000"/>
          <w:szCs w:val="24"/>
        </w:rPr>
      </w:pPr>
      <w:r w:rsidRPr="00145914">
        <w:rPr>
          <w:rFonts w:cs="Arial"/>
          <w:b/>
          <w:szCs w:val="24"/>
        </w:rPr>
        <w:t>Non,</w:t>
      </w:r>
      <w:r w:rsidRPr="00145914">
        <w:rPr>
          <w:rFonts w:cs="Arial"/>
          <w:szCs w:val="24"/>
        </w:rPr>
        <w:t xml:space="preserve"> </w:t>
      </w:r>
      <w:r w:rsidRPr="00145914">
        <w:t xml:space="preserve">les </w:t>
      </w:r>
      <w:r w:rsidRPr="00B4709B">
        <w:t>élus et les agents comptables ne sont pas à comptabiliser</w:t>
      </w:r>
      <w:r>
        <w:rPr>
          <w:rFonts w:cs="Arial"/>
          <w:color w:val="000000"/>
          <w:szCs w:val="24"/>
        </w:rPr>
        <w:t xml:space="preserve"> </w:t>
      </w:r>
      <w:r w:rsidRPr="00075EA9">
        <w:rPr>
          <w:rFonts w:cs="Arial"/>
          <w:color w:val="000000"/>
          <w:szCs w:val="24"/>
        </w:rPr>
        <w:t>d</w:t>
      </w:r>
      <w:r>
        <w:rPr>
          <w:rFonts w:cs="Arial"/>
          <w:color w:val="000000"/>
          <w:szCs w:val="24"/>
        </w:rPr>
        <w:t>ans le</w:t>
      </w:r>
      <w:r w:rsidRPr="00075EA9">
        <w:rPr>
          <w:rFonts w:cs="Arial"/>
          <w:color w:val="000000"/>
          <w:szCs w:val="24"/>
        </w:rPr>
        <w:t xml:space="preserve"> </w:t>
      </w:r>
      <w:r>
        <w:t>rapport social unique</w:t>
      </w:r>
      <w:r w:rsidRPr="00075EA9">
        <w:rPr>
          <w:rFonts w:cs="Arial"/>
          <w:color w:val="000000"/>
          <w:szCs w:val="24"/>
        </w:rPr>
        <w:t>.</w:t>
      </w:r>
    </w:p>
    <w:p w14:paraId="0D89F07F" w14:textId="77777777" w:rsidR="009300E9" w:rsidRDefault="009300E9" w:rsidP="009300E9">
      <w:pPr>
        <w:jc w:val="both"/>
        <w:rPr>
          <w:color w:val="000000"/>
          <w:szCs w:val="24"/>
        </w:rPr>
      </w:pPr>
    </w:p>
    <w:p w14:paraId="7FDBE4CA" w14:textId="77777777" w:rsidR="009300E9" w:rsidRDefault="009300E9" w:rsidP="009300E9">
      <w:pPr>
        <w:jc w:val="both"/>
        <w:rPr>
          <w:rFonts w:cs="Arial"/>
          <w:b/>
          <w:color w:val="00B0F0"/>
          <w:szCs w:val="24"/>
        </w:rPr>
      </w:pPr>
      <w:r w:rsidRPr="00337722">
        <w:rPr>
          <w:rFonts w:cs="Arial"/>
          <w:b/>
          <w:color w:val="00B0F0"/>
          <w:szCs w:val="24"/>
        </w:rPr>
        <w:t>Où saisir le</w:t>
      </w:r>
      <w:r>
        <w:rPr>
          <w:rFonts w:cs="Arial"/>
          <w:b/>
          <w:color w:val="00B0F0"/>
          <w:szCs w:val="24"/>
        </w:rPr>
        <w:t xml:space="preserve"> montant de</w:t>
      </w:r>
      <w:r w:rsidRPr="00337722">
        <w:rPr>
          <w:rFonts w:cs="Arial"/>
          <w:b/>
          <w:color w:val="00B0F0"/>
          <w:szCs w:val="24"/>
        </w:rPr>
        <w:t>s astreintes ?</w:t>
      </w:r>
    </w:p>
    <w:p w14:paraId="31E5237A" w14:textId="77777777" w:rsidR="009300E9" w:rsidRPr="00075EA9" w:rsidRDefault="009300E9" w:rsidP="009300E9">
      <w:pPr>
        <w:jc w:val="both"/>
        <w:rPr>
          <w:rFonts w:cs="Arial"/>
          <w:color w:val="000000"/>
          <w:szCs w:val="24"/>
        </w:rPr>
      </w:pPr>
      <w:r w:rsidRPr="00075EA9">
        <w:rPr>
          <w:rFonts w:cs="Arial"/>
          <w:color w:val="000000"/>
          <w:szCs w:val="24"/>
        </w:rPr>
        <w:t>Il faut saisir l</w:t>
      </w:r>
      <w:r>
        <w:rPr>
          <w:rFonts w:cs="Arial"/>
          <w:color w:val="000000"/>
          <w:szCs w:val="24"/>
        </w:rPr>
        <w:t>e montant d</w:t>
      </w:r>
      <w:r w:rsidRPr="00075EA9">
        <w:rPr>
          <w:rFonts w:cs="Arial"/>
          <w:color w:val="000000"/>
          <w:szCs w:val="24"/>
        </w:rPr>
        <w:t xml:space="preserve">es astreintes </w:t>
      </w:r>
      <w:r w:rsidRPr="005C7E9B">
        <w:rPr>
          <w:rFonts w:cs="Arial"/>
          <w:color w:val="000000"/>
          <w:szCs w:val="24"/>
        </w:rPr>
        <w:t>directement</w:t>
      </w:r>
      <w:r>
        <w:rPr>
          <w:rFonts w:cs="Arial"/>
          <w:color w:val="000000"/>
          <w:szCs w:val="24"/>
        </w:rPr>
        <w:t xml:space="preserve"> </w:t>
      </w:r>
      <w:r w:rsidRPr="00075EA9">
        <w:rPr>
          <w:rFonts w:cs="Arial"/>
          <w:color w:val="000000"/>
          <w:szCs w:val="24"/>
        </w:rPr>
        <w:t xml:space="preserve">dans la </w:t>
      </w:r>
      <w:r w:rsidRPr="00145914">
        <w:rPr>
          <w:rFonts w:cs="Arial"/>
          <w:b/>
          <w:szCs w:val="24"/>
        </w:rPr>
        <w:t>rémunération annuelle brute</w:t>
      </w:r>
      <w:r w:rsidRPr="00145914">
        <w:rPr>
          <w:rFonts w:cs="Arial"/>
          <w:szCs w:val="24"/>
        </w:rPr>
        <w:t>.</w:t>
      </w:r>
    </w:p>
    <w:p w14:paraId="3E8ED02B" w14:textId="77777777" w:rsidR="009300E9" w:rsidRDefault="009300E9" w:rsidP="009300E9">
      <w:pPr>
        <w:jc w:val="both"/>
        <w:rPr>
          <w:color w:val="000000"/>
          <w:szCs w:val="24"/>
        </w:rPr>
      </w:pPr>
    </w:p>
    <w:p w14:paraId="07D4DB17" w14:textId="77777777" w:rsidR="009300E9" w:rsidRDefault="009300E9" w:rsidP="009300E9">
      <w:pPr>
        <w:jc w:val="both"/>
        <w:rPr>
          <w:rFonts w:cs="Arial"/>
          <w:b/>
          <w:color w:val="00B0F0"/>
          <w:szCs w:val="24"/>
        </w:rPr>
      </w:pPr>
      <w:r>
        <w:rPr>
          <w:rFonts w:cs="Arial"/>
          <w:b/>
          <w:color w:val="00B0F0"/>
          <w:szCs w:val="24"/>
        </w:rPr>
        <w:t>Faut-il renseigner les rémunérations au 31 décembre ou sur l’année 2021 ?</w:t>
      </w:r>
    </w:p>
    <w:p w14:paraId="0BE5B030" w14:textId="77777777" w:rsidR="009300E9" w:rsidRDefault="009300E9" w:rsidP="009300E9">
      <w:pPr>
        <w:jc w:val="both"/>
        <w:rPr>
          <w:rFonts w:cs="Arial"/>
          <w:i/>
          <w:color w:val="E36C0A" w:themeColor="accent6" w:themeShade="BF"/>
          <w:szCs w:val="24"/>
        </w:rPr>
      </w:pPr>
      <w:r>
        <w:rPr>
          <w:rFonts w:cs="Arial"/>
          <w:i/>
          <w:color w:val="E36C0A" w:themeColor="accent6" w:themeShade="BF"/>
          <w:szCs w:val="24"/>
        </w:rPr>
        <w:t>Indicateurs 3.1.1, 3.2.1, 3.3.1</w:t>
      </w:r>
    </w:p>
    <w:p w14:paraId="05A4E913" w14:textId="77777777" w:rsidR="009300E9" w:rsidRDefault="009300E9" w:rsidP="009300E9">
      <w:pPr>
        <w:jc w:val="both"/>
        <w:rPr>
          <w:rFonts w:cs="Arial"/>
          <w:color w:val="FF0000"/>
          <w:szCs w:val="24"/>
        </w:rPr>
      </w:pPr>
      <w:r>
        <w:rPr>
          <w:rFonts w:cs="Arial"/>
          <w:szCs w:val="24"/>
        </w:rPr>
        <w:t>Il faut comptabiliser tous</w:t>
      </w:r>
      <w:r w:rsidRPr="00E1333C">
        <w:rPr>
          <w:rFonts w:cs="Arial"/>
          <w:szCs w:val="24"/>
        </w:rPr>
        <w:t xml:space="preserve"> </w:t>
      </w:r>
      <w:r>
        <w:rPr>
          <w:rFonts w:cs="Arial"/>
          <w:szCs w:val="24"/>
        </w:rPr>
        <w:t>l</w:t>
      </w:r>
      <w:r w:rsidRPr="00E1333C">
        <w:rPr>
          <w:rFonts w:cs="Arial"/>
          <w:szCs w:val="24"/>
        </w:rPr>
        <w:t xml:space="preserve">es </w:t>
      </w:r>
      <w:r>
        <w:rPr>
          <w:rFonts w:cs="Arial"/>
          <w:szCs w:val="24"/>
        </w:rPr>
        <w:t>agents</w:t>
      </w:r>
      <w:r w:rsidRPr="00E1333C">
        <w:rPr>
          <w:rFonts w:cs="Arial"/>
          <w:szCs w:val="24"/>
        </w:rPr>
        <w:t xml:space="preserve"> ayant travaillé </w:t>
      </w:r>
      <w:r w:rsidRPr="00145914">
        <w:rPr>
          <w:rFonts w:cs="Arial"/>
          <w:b/>
          <w:szCs w:val="24"/>
        </w:rPr>
        <w:t>au moins un jour durant l'année</w:t>
      </w:r>
      <w:r w:rsidRPr="00145914">
        <w:rPr>
          <w:rFonts w:cs="Arial"/>
          <w:szCs w:val="24"/>
        </w:rPr>
        <w:t xml:space="preserve"> </w:t>
      </w:r>
      <w:r w:rsidRPr="007B2148">
        <w:rPr>
          <w:rFonts w:cs="Arial"/>
          <w:szCs w:val="24"/>
        </w:rPr>
        <w:t xml:space="preserve">et </w:t>
      </w:r>
      <w:r w:rsidRPr="00E1333C">
        <w:rPr>
          <w:rFonts w:cs="Arial"/>
          <w:szCs w:val="24"/>
        </w:rPr>
        <w:t>les montants doivent être exprimés en euros (arrondir à l'euro supérieur).</w:t>
      </w:r>
      <w:r w:rsidRPr="004D5850">
        <w:rPr>
          <w:rFonts w:cs="Arial"/>
          <w:color w:val="FF0000"/>
          <w:szCs w:val="24"/>
        </w:rPr>
        <w:tab/>
      </w:r>
    </w:p>
    <w:p w14:paraId="228E23E5" w14:textId="77777777" w:rsidR="009300E9" w:rsidRPr="004D5850" w:rsidRDefault="009300E9" w:rsidP="009300E9">
      <w:pPr>
        <w:jc w:val="both"/>
        <w:rPr>
          <w:rFonts w:cs="Arial"/>
          <w:color w:val="FF0000"/>
          <w:szCs w:val="24"/>
        </w:rPr>
      </w:pPr>
      <w:r w:rsidRPr="004D5850">
        <w:rPr>
          <w:rFonts w:cs="Arial"/>
          <w:color w:val="FF0000"/>
          <w:szCs w:val="24"/>
        </w:rPr>
        <w:tab/>
      </w:r>
      <w:r w:rsidRPr="004D5850">
        <w:rPr>
          <w:rFonts w:cs="Arial"/>
          <w:color w:val="FF0000"/>
          <w:szCs w:val="24"/>
        </w:rPr>
        <w:tab/>
      </w:r>
    </w:p>
    <w:p w14:paraId="4203BF30" w14:textId="77777777" w:rsidR="009300E9" w:rsidRDefault="009300E9" w:rsidP="009300E9">
      <w:pPr>
        <w:jc w:val="both"/>
        <w:rPr>
          <w:rFonts w:cs="Arial"/>
          <w:b/>
          <w:color w:val="00B0F0"/>
          <w:szCs w:val="24"/>
        </w:rPr>
      </w:pPr>
      <w:r>
        <w:rPr>
          <w:rFonts w:cs="Arial"/>
          <w:b/>
          <w:color w:val="00B0F0"/>
          <w:szCs w:val="24"/>
        </w:rPr>
        <w:t>Faut-il intégrer les charges patronales à la rémunération annuelle</w:t>
      </w:r>
      <w:r w:rsidRPr="001F027C">
        <w:rPr>
          <w:rFonts w:cs="Arial"/>
          <w:b/>
          <w:color w:val="00B0F0"/>
          <w:szCs w:val="24"/>
        </w:rPr>
        <w:t> ?</w:t>
      </w:r>
    </w:p>
    <w:p w14:paraId="24CA7AB7" w14:textId="77777777" w:rsidR="009300E9" w:rsidRDefault="009300E9" w:rsidP="009300E9">
      <w:pPr>
        <w:jc w:val="both"/>
        <w:rPr>
          <w:rFonts w:cs="Arial"/>
          <w:i/>
          <w:color w:val="E36C0A" w:themeColor="accent6" w:themeShade="BF"/>
          <w:szCs w:val="24"/>
        </w:rPr>
      </w:pPr>
      <w:r>
        <w:rPr>
          <w:rFonts w:cs="Arial"/>
          <w:i/>
          <w:color w:val="E36C0A" w:themeColor="accent6" w:themeShade="BF"/>
          <w:szCs w:val="24"/>
        </w:rPr>
        <w:t>Indicateurs 3.1.1 à 3.3.1</w:t>
      </w:r>
    </w:p>
    <w:p w14:paraId="06D29600" w14:textId="77777777" w:rsidR="009300E9" w:rsidRDefault="009300E9" w:rsidP="009300E9">
      <w:pPr>
        <w:jc w:val="both"/>
        <w:rPr>
          <w:rFonts w:cs="Arial"/>
          <w:color w:val="000000"/>
          <w:szCs w:val="24"/>
        </w:rPr>
      </w:pPr>
      <w:r>
        <w:rPr>
          <w:rFonts w:cs="Arial"/>
          <w:color w:val="000000"/>
          <w:szCs w:val="24"/>
        </w:rPr>
        <w:t>L</w:t>
      </w:r>
      <w:r w:rsidRPr="001F027C">
        <w:rPr>
          <w:rFonts w:cs="Arial"/>
          <w:color w:val="000000"/>
          <w:szCs w:val="24"/>
        </w:rPr>
        <w:t xml:space="preserve">a rémunération totale annuelle concerne le </w:t>
      </w:r>
      <w:r w:rsidRPr="00145914">
        <w:rPr>
          <w:rFonts w:cs="Arial"/>
          <w:b/>
          <w:szCs w:val="24"/>
        </w:rPr>
        <w:t>total brut annuel de l'agent</w:t>
      </w:r>
      <w:r w:rsidRPr="001F027C">
        <w:rPr>
          <w:rFonts w:cs="Arial"/>
          <w:color w:val="000000"/>
          <w:szCs w:val="24"/>
        </w:rPr>
        <w:t>, c'est-à-dire en incluant les charges salariales</w:t>
      </w:r>
      <w:r>
        <w:rPr>
          <w:rFonts w:cs="Arial"/>
          <w:color w:val="000000"/>
          <w:szCs w:val="24"/>
        </w:rPr>
        <w:t xml:space="preserve"> </w:t>
      </w:r>
      <w:r w:rsidRPr="005C7E9B">
        <w:rPr>
          <w:rFonts w:cs="Arial"/>
          <w:color w:val="000000"/>
          <w:szCs w:val="24"/>
        </w:rPr>
        <w:t>de l’agent</w:t>
      </w:r>
      <w:r w:rsidRPr="00E1333C">
        <w:rPr>
          <w:rFonts w:cs="Arial"/>
          <w:color w:val="FF0000"/>
          <w:szCs w:val="24"/>
        </w:rPr>
        <w:t xml:space="preserve"> </w:t>
      </w:r>
      <w:r w:rsidRPr="001F027C">
        <w:rPr>
          <w:rFonts w:cs="Arial"/>
          <w:color w:val="000000"/>
          <w:szCs w:val="24"/>
        </w:rPr>
        <w:t>mais pas les charges patronales.</w:t>
      </w:r>
    </w:p>
    <w:p w14:paraId="57D13778" w14:textId="77777777" w:rsidR="009300E9" w:rsidRDefault="009300E9" w:rsidP="009300E9">
      <w:pPr>
        <w:jc w:val="both"/>
        <w:rPr>
          <w:rFonts w:cs="Arial"/>
          <w:color w:val="000000"/>
          <w:szCs w:val="24"/>
        </w:rPr>
      </w:pPr>
    </w:p>
    <w:p w14:paraId="1049DCA6" w14:textId="77777777" w:rsidR="009300E9" w:rsidRPr="00C8132F" w:rsidRDefault="009300E9" w:rsidP="009300E9">
      <w:pPr>
        <w:jc w:val="both"/>
        <w:rPr>
          <w:b/>
          <w:color w:val="00B0F0"/>
        </w:rPr>
      </w:pPr>
      <w:r w:rsidRPr="00C8132F">
        <w:rPr>
          <w:b/>
          <w:color w:val="00B0F0"/>
        </w:rPr>
        <w:t>Que comptabiliser à la colonne « dont primes et indemnités (à l’exception des frais de déplacement) » ?</w:t>
      </w:r>
    </w:p>
    <w:p w14:paraId="7CA28EEA" w14:textId="77777777" w:rsidR="009300E9" w:rsidRDefault="009300E9" w:rsidP="009300E9">
      <w:pPr>
        <w:rPr>
          <w:i/>
          <w:iCs/>
          <w:color w:val="E36C0A"/>
        </w:rPr>
      </w:pPr>
      <w:r>
        <w:rPr>
          <w:i/>
          <w:iCs/>
          <w:color w:val="E36C0A"/>
        </w:rPr>
        <w:t>Indicateurs 3.1.1 et 3.2.1</w:t>
      </w:r>
    </w:p>
    <w:p w14:paraId="03519335" w14:textId="77777777" w:rsidR="009300E9" w:rsidRDefault="009300E9" w:rsidP="009300E9">
      <w:pPr>
        <w:jc w:val="both"/>
      </w:pPr>
      <w:r>
        <w:t xml:space="preserve">Il s’agit de comptabiliser </w:t>
      </w:r>
      <w:r w:rsidRPr="00B4709B">
        <w:t>uniquement</w:t>
      </w:r>
      <w:r>
        <w:t xml:space="preserve"> les éléments du régime indemnitaire </w:t>
      </w:r>
      <w:r w:rsidRPr="00145914">
        <w:rPr>
          <w:b/>
        </w:rPr>
        <w:t>soumis à une délibération</w:t>
      </w:r>
      <w:r w:rsidRPr="00145914">
        <w:t xml:space="preserve">. </w:t>
      </w:r>
      <w:r>
        <w:t>A ce titre, l’indemnité de résidence (IR), le supplément familial de traitement (SFT) et la nouvelle bonification indiciaire (NBI) ne sont pas à renseigner à cette colonne. Les heures supplémentaires et complémentaires ne doivent pas non plus être saisies à cette colonne, leurs montants n’étant pas fixés par une délibération.</w:t>
      </w:r>
    </w:p>
    <w:p w14:paraId="6B8916D1" w14:textId="77777777" w:rsidR="009300E9" w:rsidRDefault="009300E9" w:rsidP="009300E9">
      <w:pPr>
        <w:rPr>
          <w:color w:val="1F497D"/>
        </w:rPr>
      </w:pPr>
    </w:p>
    <w:p w14:paraId="053D4379" w14:textId="77777777" w:rsidR="009300E9" w:rsidRPr="00C8132F" w:rsidRDefault="009300E9" w:rsidP="009300E9">
      <w:pPr>
        <w:jc w:val="both"/>
        <w:rPr>
          <w:b/>
          <w:color w:val="00B0F0"/>
        </w:rPr>
      </w:pPr>
      <w:r w:rsidRPr="00C8132F">
        <w:rPr>
          <w:b/>
          <w:color w:val="00B0F0"/>
        </w:rPr>
        <w:t>L’indemnité compensatrice de la hausse de la CSG (Décret 2017-1889) doit-elle être intégrée à la colonne « dont primes et indemnités (à l’exception des frais de déplacement) » ?</w:t>
      </w:r>
    </w:p>
    <w:p w14:paraId="1A522099" w14:textId="77777777" w:rsidR="009300E9" w:rsidRDefault="009300E9" w:rsidP="009300E9">
      <w:pPr>
        <w:rPr>
          <w:i/>
          <w:iCs/>
          <w:color w:val="E36C0A"/>
        </w:rPr>
      </w:pPr>
      <w:r>
        <w:rPr>
          <w:i/>
          <w:iCs/>
          <w:color w:val="E36C0A"/>
        </w:rPr>
        <w:t>Indicateurs 3.1.1 et 3.2.1</w:t>
      </w:r>
    </w:p>
    <w:p w14:paraId="5BB9446E" w14:textId="77777777" w:rsidR="009300E9" w:rsidRDefault="009300E9" w:rsidP="009300E9">
      <w:pPr>
        <w:jc w:val="both"/>
      </w:pPr>
      <w:r w:rsidRPr="00E1333C">
        <w:rPr>
          <w:b/>
          <w:color w:val="FF0000"/>
        </w:rPr>
        <w:t>Non.</w:t>
      </w:r>
      <w:r w:rsidRPr="00E1333C">
        <w:rPr>
          <w:color w:val="FF0000"/>
        </w:rPr>
        <w:t xml:space="preserve"> </w:t>
      </w:r>
      <w:r>
        <w:t xml:space="preserve">La colonne « dont primes et indemnités (à l’exception des frais de déplacement) » [3.1.1.2 et 3.2.1.2] comprend </w:t>
      </w:r>
      <w:r w:rsidRPr="005C7E9B">
        <w:t>uniquement</w:t>
      </w:r>
      <w:r>
        <w:t xml:space="preserve"> les éléments du régime indemnitaire soumis à une délibération.</w:t>
      </w:r>
    </w:p>
    <w:p w14:paraId="6D83084D" w14:textId="77777777" w:rsidR="009300E9" w:rsidRDefault="009300E9" w:rsidP="009300E9">
      <w:pPr>
        <w:jc w:val="both"/>
      </w:pPr>
    </w:p>
    <w:p w14:paraId="56E251BB" w14:textId="77777777" w:rsidR="009300E9" w:rsidRDefault="009300E9" w:rsidP="009300E9">
      <w:pPr>
        <w:jc w:val="both"/>
      </w:pPr>
      <w:r>
        <w:t>L’indemnité compensatrice de la hausse de la CSG (Décret 2017-1889) n’étant pas une prime au sens de l’article 88 ou 111 de la loi n° 84-53 du 26 janvier 1984, elle ne doit pas être intégrée à cette colonne. L’indemnité compensatrice de la hausse de la CSG est une obligation pour l’employeur, sa mise en place n’est pas soumise à une délibération de l’assemblée délibérante.</w:t>
      </w:r>
    </w:p>
    <w:p w14:paraId="4366522B" w14:textId="77777777" w:rsidR="009300E9" w:rsidRDefault="009300E9" w:rsidP="009300E9">
      <w:pPr>
        <w:jc w:val="both"/>
      </w:pPr>
    </w:p>
    <w:p w14:paraId="476B104A" w14:textId="77777777" w:rsidR="009300E9" w:rsidRDefault="009300E9" w:rsidP="009300E9">
      <w:pPr>
        <w:jc w:val="both"/>
      </w:pPr>
      <w:r>
        <w:t>Il en est de même pour la retenue sur salaire du « transfert prime-point ».</w:t>
      </w:r>
    </w:p>
    <w:p w14:paraId="715CCA76" w14:textId="77777777" w:rsidR="009300E9" w:rsidRDefault="009300E9" w:rsidP="009300E9">
      <w:pPr>
        <w:jc w:val="both"/>
      </w:pPr>
    </w:p>
    <w:p w14:paraId="0FCFFA12" w14:textId="77777777" w:rsidR="009300E9" w:rsidRPr="007E27AF" w:rsidRDefault="009300E9" w:rsidP="009300E9">
      <w:pPr>
        <w:jc w:val="both"/>
        <w:rPr>
          <w:b/>
          <w:color w:val="00B0F0"/>
        </w:rPr>
      </w:pPr>
      <w:r w:rsidRPr="007E27AF">
        <w:rPr>
          <w:b/>
          <w:color w:val="FF0000"/>
        </w:rPr>
        <w:t xml:space="preserve">Nouveauté RSU 2021 : </w:t>
      </w:r>
      <w:r w:rsidRPr="007E27AF">
        <w:rPr>
          <w:b/>
          <w:color w:val="00B0F0"/>
        </w:rPr>
        <w:t>Quels agents sont éligibles au complément de traitement indiciaire ?</w:t>
      </w:r>
    </w:p>
    <w:p w14:paraId="38B938EA" w14:textId="77777777" w:rsidR="009300E9" w:rsidRDefault="009300E9" w:rsidP="009300E9">
      <w:pPr>
        <w:rPr>
          <w:i/>
          <w:iCs/>
          <w:color w:val="E36C0A"/>
        </w:rPr>
      </w:pPr>
      <w:r>
        <w:rPr>
          <w:i/>
          <w:iCs/>
          <w:color w:val="E36C0A"/>
        </w:rPr>
        <w:t>Indicateurs 3.1.1 et 3.2.1</w:t>
      </w:r>
    </w:p>
    <w:p w14:paraId="34C94193" w14:textId="77777777" w:rsidR="009300E9" w:rsidRDefault="009300E9" w:rsidP="009300E9">
      <w:pPr>
        <w:rPr>
          <w:sz w:val="22"/>
        </w:rPr>
      </w:pPr>
    </w:p>
    <w:p w14:paraId="27E572B4" w14:textId="77777777" w:rsidR="009300E9" w:rsidRDefault="009300E9" w:rsidP="009300E9">
      <w:pPr>
        <w:pStyle w:val="NormalWeb"/>
        <w:jc w:val="both"/>
        <w:rPr>
          <w:rFonts w:ascii="Times New Roman" w:hAnsi="Times New Roman"/>
        </w:rPr>
      </w:pPr>
      <w:r>
        <w:t>Le</w:t>
      </w:r>
      <w:r w:rsidRPr="007E27AF">
        <w:t xml:space="preserve"> Décret n° 2020-1152 du 19 septembre 2020 </w:t>
      </w:r>
      <w:r>
        <w:t xml:space="preserve">spécifie que le complément de traitement indiciaire est versé aux agents exerçant les fonctions d'aide-soignant, d'infirmier, de cadre de santé de la filière infirmière et de la filière de rééducation, de masseur kinésithérapeute, de pédicure podologue, d'orthophoniste, d'orthoptiste, d'ergothérapeute, d'audioprothésiste, de </w:t>
      </w:r>
      <w:r>
        <w:lastRenderedPageBreak/>
        <w:t xml:space="preserve">psychomotricien, de sage-femme, d'auxiliaire de puériculture, de diététicien, d'aide médico psychologique, d'auxiliaire de vie sociale ou d'accompagnant éducatif et social au sein : </w:t>
      </w:r>
    </w:p>
    <w:p w14:paraId="286E361D" w14:textId="2B7D0B32" w:rsidR="009300E9" w:rsidRDefault="009300E9" w:rsidP="009300E9">
      <w:pPr>
        <w:pStyle w:val="NormalWeb"/>
        <w:jc w:val="both"/>
      </w:pPr>
      <w:r>
        <w:br/>
        <w:t xml:space="preserve">1° Des services de soins infirmiers à domicile mentionnés aux 6° et 7° du I de l'article </w:t>
      </w:r>
      <w:r w:rsidRPr="00145914">
        <w:t xml:space="preserve">L. 312-1 </w:t>
      </w:r>
      <w:r>
        <w:t xml:space="preserve">du code de l'action sociale et des familles ; </w:t>
      </w:r>
    </w:p>
    <w:p w14:paraId="271EBE65" w14:textId="1D278894" w:rsidR="009300E9" w:rsidRDefault="009300E9" w:rsidP="009300E9">
      <w:pPr>
        <w:pStyle w:val="NormalWeb"/>
        <w:jc w:val="both"/>
      </w:pPr>
      <w:r>
        <w:br/>
        <w:t xml:space="preserve">2° Des établissements et services mentionnés aux 2°, 3°, 5° et 7° du même I ainsi que des établissements et services accueillant des personnes en situation de handicap mentionnés au 12° de </w:t>
      </w:r>
      <w:proofErr w:type="gramStart"/>
      <w:r>
        <w:t>ce</w:t>
      </w:r>
      <w:proofErr w:type="gramEnd"/>
      <w:r>
        <w:t xml:space="preserve"> I, qui relèvent de l'objectif de dépenses mentionné au I de l'article </w:t>
      </w:r>
      <w:r w:rsidRPr="00145914">
        <w:t xml:space="preserve">L. 314-3 </w:t>
      </w:r>
      <w:r>
        <w:t xml:space="preserve">du même code ; </w:t>
      </w:r>
    </w:p>
    <w:p w14:paraId="617AE395" w14:textId="77777777" w:rsidR="009300E9" w:rsidRDefault="009300E9" w:rsidP="009300E9">
      <w:pPr>
        <w:pStyle w:val="NormalWeb"/>
        <w:jc w:val="both"/>
      </w:pPr>
      <w:r>
        <w:br/>
        <w:t xml:space="preserve">3° Des établissements et services mentionnés au 9° du I de l'article L. 312-1 du même code ; </w:t>
      </w:r>
    </w:p>
    <w:p w14:paraId="4279C27D" w14:textId="77777777" w:rsidR="009300E9" w:rsidRDefault="009300E9" w:rsidP="009300E9">
      <w:pPr>
        <w:pStyle w:val="NormalWeb"/>
        <w:jc w:val="both"/>
      </w:pPr>
      <w:r>
        <w:br/>
        <w:t xml:space="preserve">4° Des établissements organisant un accueil de jour sans hébergement dans les conditions prévues au dernier alinéa du même I ; </w:t>
      </w:r>
    </w:p>
    <w:p w14:paraId="54271CCF" w14:textId="5CB372C0" w:rsidR="009300E9" w:rsidRDefault="009300E9" w:rsidP="009300E9">
      <w:pPr>
        <w:pStyle w:val="NormalWeb"/>
        <w:jc w:val="both"/>
      </w:pPr>
      <w:r>
        <w:br/>
        <w:t xml:space="preserve">5° Des établissements mentionnés au III de l'article </w:t>
      </w:r>
      <w:r w:rsidRPr="00145914">
        <w:t>L. 313-12</w:t>
      </w:r>
      <w:r>
        <w:t xml:space="preserve"> du même code percevant un forfait de soins mentionné au IV du même article.</w:t>
      </w:r>
    </w:p>
    <w:p w14:paraId="6B4609A9" w14:textId="77777777" w:rsidR="00145914" w:rsidRDefault="00145914" w:rsidP="009300E9">
      <w:pPr>
        <w:pStyle w:val="NormalWeb"/>
        <w:jc w:val="both"/>
      </w:pPr>
    </w:p>
    <w:p w14:paraId="7B892483" w14:textId="0A689E7F" w:rsidR="009300E9" w:rsidRPr="007E27AF" w:rsidRDefault="009300E9" w:rsidP="009300E9">
      <w:pPr>
        <w:jc w:val="both"/>
        <w:rPr>
          <w:b/>
          <w:color w:val="00B0F0"/>
        </w:rPr>
      </w:pPr>
      <w:r w:rsidRPr="007E27AF">
        <w:rPr>
          <w:b/>
          <w:color w:val="FF0000"/>
        </w:rPr>
        <w:t xml:space="preserve">Nouveauté RSU 2021 : </w:t>
      </w:r>
      <w:r w:rsidRPr="007E27AF">
        <w:rPr>
          <w:b/>
          <w:color w:val="00B0F0"/>
        </w:rPr>
        <w:t xml:space="preserve">Quels </w:t>
      </w:r>
      <w:r>
        <w:rPr>
          <w:b/>
          <w:color w:val="00B0F0"/>
        </w:rPr>
        <w:t>cadres d’emploi</w:t>
      </w:r>
      <w:r w:rsidR="00C935B5">
        <w:rPr>
          <w:b/>
          <w:color w:val="00B0F0"/>
        </w:rPr>
        <w:t>s</w:t>
      </w:r>
      <w:r>
        <w:rPr>
          <w:b/>
          <w:color w:val="00B0F0"/>
        </w:rPr>
        <w:t xml:space="preserve"> ne b</w:t>
      </w:r>
      <w:r w:rsidRPr="007E27AF">
        <w:rPr>
          <w:b/>
          <w:color w:val="00B0F0"/>
        </w:rPr>
        <w:t>énéficient pas d'un arrêté</w:t>
      </w:r>
      <w:r w:rsidRPr="007E27AF">
        <w:rPr>
          <w:b/>
          <w:color w:val="00B0F0"/>
        </w:rPr>
        <w:br/>
        <w:t>d'application du RIFSEEP, ou bien ne sont pas visés par les équivalences provisoires leur permettant de percevoir le</w:t>
      </w:r>
      <w:r>
        <w:rPr>
          <w:b/>
          <w:color w:val="00B0F0"/>
        </w:rPr>
        <w:t xml:space="preserve"> </w:t>
      </w:r>
      <w:r w:rsidRPr="007E27AF">
        <w:rPr>
          <w:b/>
          <w:color w:val="00B0F0"/>
        </w:rPr>
        <w:t>régime indemnitaire ?</w:t>
      </w:r>
    </w:p>
    <w:p w14:paraId="574AA455" w14:textId="77777777" w:rsidR="009300E9" w:rsidRDefault="009300E9" w:rsidP="009300E9">
      <w:pPr>
        <w:rPr>
          <w:i/>
          <w:iCs/>
          <w:color w:val="E36C0A"/>
        </w:rPr>
      </w:pPr>
      <w:r>
        <w:rPr>
          <w:i/>
          <w:iCs/>
          <w:color w:val="E36C0A"/>
        </w:rPr>
        <w:t>Indicateurs 3.1.1 et 3.2.1</w:t>
      </w:r>
    </w:p>
    <w:p w14:paraId="658F3CB3" w14:textId="77777777" w:rsidR="009300E9" w:rsidRDefault="009300E9" w:rsidP="009300E9">
      <w:pPr>
        <w:rPr>
          <w:i/>
          <w:iCs/>
          <w:color w:val="E36C0A"/>
        </w:rPr>
      </w:pPr>
    </w:p>
    <w:p w14:paraId="4318877A" w14:textId="77777777" w:rsidR="009300E9" w:rsidRDefault="009300E9" w:rsidP="009300E9">
      <w:pPr>
        <w:jc w:val="both"/>
        <w:rPr>
          <w:rFonts w:cstheme="minorHAnsi"/>
          <w:szCs w:val="24"/>
        </w:rPr>
      </w:pPr>
      <w:r w:rsidRPr="007B2148">
        <w:rPr>
          <w:rFonts w:cstheme="minorHAnsi"/>
          <w:szCs w:val="24"/>
        </w:rPr>
        <w:t>Deux cadres d’emplois de la filière culturelle, dont le corps de référence ne bénéficie pas d'un arrêté</w:t>
      </w:r>
      <w:r>
        <w:rPr>
          <w:rFonts w:cstheme="minorHAnsi"/>
          <w:szCs w:val="24"/>
        </w:rPr>
        <w:t xml:space="preserve"> </w:t>
      </w:r>
      <w:r w:rsidRPr="007B2148">
        <w:rPr>
          <w:rFonts w:cstheme="minorHAnsi"/>
          <w:szCs w:val="24"/>
        </w:rPr>
        <w:t>d'application du RIFSEEP, ne sont pas visés par les équivalences provisoires leur permettant de percevoir le</w:t>
      </w:r>
      <w:r>
        <w:rPr>
          <w:rFonts w:cstheme="minorHAnsi"/>
          <w:szCs w:val="24"/>
        </w:rPr>
        <w:t xml:space="preserve"> </w:t>
      </w:r>
      <w:r w:rsidRPr="007B2148">
        <w:rPr>
          <w:rFonts w:cstheme="minorHAnsi"/>
          <w:szCs w:val="24"/>
        </w:rPr>
        <w:t>régime indemnitaire :</w:t>
      </w:r>
    </w:p>
    <w:p w14:paraId="1F12351B" w14:textId="77777777" w:rsidR="009300E9" w:rsidRDefault="009300E9" w:rsidP="009300E9">
      <w:pPr>
        <w:jc w:val="both"/>
        <w:rPr>
          <w:rFonts w:cstheme="minorHAnsi"/>
          <w:szCs w:val="24"/>
        </w:rPr>
      </w:pPr>
      <w:r w:rsidRPr="007B2148">
        <w:rPr>
          <w:rFonts w:cstheme="minorHAnsi"/>
          <w:szCs w:val="24"/>
        </w:rPr>
        <w:t>→ Professeurs d’enseignement artistique</w:t>
      </w:r>
      <w:r>
        <w:rPr>
          <w:rFonts w:cstheme="minorHAnsi"/>
          <w:szCs w:val="24"/>
        </w:rPr>
        <w:t xml:space="preserve"> </w:t>
      </w:r>
      <w:r w:rsidRPr="007B2148">
        <w:rPr>
          <w:rFonts w:cstheme="minorHAnsi"/>
          <w:szCs w:val="24"/>
        </w:rPr>
        <w:t>(corps de référence : corps des professeurs certifiés)</w:t>
      </w:r>
      <w:r w:rsidRPr="007B2148">
        <w:rPr>
          <w:rFonts w:cstheme="minorHAnsi"/>
          <w:szCs w:val="24"/>
        </w:rPr>
        <w:br/>
        <w:t>→ Assistants d’enseignement artistique</w:t>
      </w:r>
      <w:r>
        <w:rPr>
          <w:rFonts w:cstheme="minorHAnsi"/>
          <w:szCs w:val="24"/>
        </w:rPr>
        <w:t xml:space="preserve"> </w:t>
      </w:r>
      <w:r w:rsidRPr="007B2148">
        <w:rPr>
          <w:rFonts w:cstheme="minorHAnsi"/>
          <w:szCs w:val="24"/>
        </w:rPr>
        <w:t>(corps de référence : corps des professeurs certifiés).</w:t>
      </w:r>
    </w:p>
    <w:p w14:paraId="188C01DC" w14:textId="77777777" w:rsidR="009300E9" w:rsidRDefault="009300E9" w:rsidP="009300E9">
      <w:pPr>
        <w:rPr>
          <w:rFonts w:cstheme="minorHAnsi"/>
          <w:szCs w:val="24"/>
        </w:rPr>
      </w:pPr>
    </w:p>
    <w:p w14:paraId="4E301F7A" w14:textId="77777777" w:rsidR="009300E9" w:rsidRDefault="009300E9" w:rsidP="009300E9">
      <w:pPr>
        <w:jc w:val="both"/>
        <w:rPr>
          <w:rFonts w:cstheme="minorHAnsi"/>
          <w:szCs w:val="24"/>
        </w:rPr>
      </w:pPr>
      <w:r w:rsidRPr="007B2148">
        <w:rPr>
          <w:rFonts w:cstheme="minorHAnsi"/>
          <w:szCs w:val="24"/>
        </w:rPr>
        <w:t>Les filières POLICE ET FILIERE DES SAPEURS-POMPIERS PROFESSIONNELS sont exclues du RIFSEEP puisqu’ils ne sont pas soumis au principe d’équivalence avec la fonction publique d’Etat.</w:t>
      </w:r>
    </w:p>
    <w:p w14:paraId="27345AE5" w14:textId="77777777" w:rsidR="009300E9" w:rsidRPr="007B2148" w:rsidRDefault="009300E9" w:rsidP="009300E9">
      <w:pPr>
        <w:rPr>
          <w:rFonts w:cstheme="minorHAnsi"/>
          <w:szCs w:val="24"/>
        </w:rPr>
      </w:pPr>
    </w:p>
    <w:p w14:paraId="1E8FD949" w14:textId="77777777" w:rsidR="009300E9" w:rsidRPr="00063796" w:rsidRDefault="009300E9" w:rsidP="009300E9">
      <w:pPr>
        <w:jc w:val="both"/>
        <w:rPr>
          <w:i/>
          <w:color w:val="E36C0A" w:themeColor="accent6" w:themeShade="BF"/>
        </w:rPr>
      </w:pPr>
      <w:r w:rsidRPr="00063796">
        <w:rPr>
          <w:b/>
          <w:color w:val="00B0F0"/>
        </w:rPr>
        <w:t>Le montant correspondant au transfert prime-point doit-il être intégré à la colonne « dont primes et indemnités (à l’exception des frais de déplacement) » ?</w:t>
      </w:r>
      <w:r>
        <w:rPr>
          <w:b/>
          <w:color w:val="00B0F0"/>
        </w:rPr>
        <w:t xml:space="preserve"> </w:t>
      </w:r>
      <w:r w:rsidRPr="00063796">
        <w:rPr>
          <w:i/>
          <w:color w:val="E36C0A" w:themeColor="accent6" w:themeShade="BF"/>
        </w:rPr>
        <w:t>Indicateur 3.1.1</w:t>
      </w:r>
    </w:p>
    <w:p w14:paraId="0F8F940C" w14:textId="77777777" w:rsidR="009300E9" w:rsidRPr="00EF6B48" w:rsidRDefault="009300E9" w:rsidP="009300E9">
      <w:pPr>
        <w:jc w:val="both"/>
        <w:rPr>
          <w:rFonts w:cstheme="minorHAnsi"/>
          <w:szCs w:val="24"/>
        </w:rPr>
      </w:pPr>
      <w:r w:rsidRPr="00E1333C">
        <w:rPr>
          <w:rFonts w:cstheme="minorHAnsi"/>
          <w:b/>
          <w:color w:val="FF0000"/>
          <w:szCs w:val="24"/>
        </w:rPr>
        <w:t>Non.</w:t>
      </w:r>
      <w:r>
        <w:rPr>
          <w:rFonts w:cstheme="minorHAnsi"/>
          <w:szCs w:val="24"/>
        </w:rPr>
        <w:t xml:space="preserve"> </w:t>
      </w:r>
      <w:r w:rsidRPr="00EF6B48">
        <w:rPr>
          <w:rFonts w:cstheme="minorHAnsi"/>
          <w:szCs w:val="24"/>
        </w:rPr>
        <w:t>Il faut déduire du montant des primes et indemnités le montant correspondant au transfert primes points. En effet, ce dispositif transforme des primes en points d’indice et augmente le traitement indiciaire.</w:t>
      </w:r>
    </w:p>
    <w:p w14:paraId="122F51A0" w14:textId="77777777" w:rsidR="009300E9" w:rsidRDefault="009300E9" w:rsidP="009300E9">
      <w:pPr>
        <w:jc w:val="both"/>
      </w:pPr>
    </w:p>
    <w:p w14:paraId="3C5B229E" w14:textId="77777777" w:rsidR="009300E9" w:rsidRPr="003F42C2" w:rsidRDefault="009300E9" w:rsidP="009300E9">
      <w:pPr>
        <w:jc w:val="both"/>
        <w:rPr>
          <w:i/>
          <w:color w:val="E36C0A" w:themeColor="accent6" w:themeShade="BF"/>
        </w:rPr>
      </w:pPr>
      <w:r w:rsidRPr="003F42C2">
        <w:rPr>
          <w:rFonts w:cstheme="minorHAnsi"/>
          <w:b/>
          <w:color w:val="00B0F0"/>
          <w:szCs w:val="24"/>
        </w:rPr>
        <w:t xml:space="preserve">Les participations à la protection sociale ainsi que le remboursement des frais de transport domicile travail </w:t>
      </w:r>
      <w:r w:rsidRPr="003F42C2">
        <w:rPr>
          <w:b/>
          <w:color w:val="00B0F0"/>
        </w:rPr>
        <w:t>doivent-elles être intégrées à la colonne « dont primes et indemnités (à l’exception des frais de déplacement) » ?</w:t>
      </w:r>
      <w:r>
        <w:rPr>
          <w:b/>
          <w:color w:val="00B0F0"/>
        </w:rPr>
        <w:t xml:space="preserve"> </w:t>
      </w:r>
      <w:r w:rsidRPr="003F42C2">
        <w:rPr>
          <w:i/>
          <w:color w:val="E36C0A" w:themeColor="accent6" w:themeShade="BF"/>
        </w:rPr>
        <w:t>Indicateur 3.1.1</w:t>
      </w:r>
    </w:p>
    <w:p w14:paraId="0F4BE9C8" w14:textId="77777777" w:rsidR="009300E9" w:rsidRPr="00751C73" w:rsidRDefault="009300E9" w:rsidP="009300E9">
      <w:pPr>
        <w:jc w:val="both"/>
      </w:pPr>
    </w:p>
    <w:p w14:paraId="6E546416" w14:textId="77777777" w:rsidR="009300E9" w:rsidRDefault="009300E9" w:rsidP="009300E9">
      <w:pPr>
        <w:jc w:val="both"/>
        <w:rPr>
          <w:rFonts w:cstheme="minorHAnsi"/>
          <w:szCs w:val="24"/>
        </w:rPr>
      </w:pPr>
      <w:r w:rsidRPr="00E1333C">
        <w:rPr>
          <w:rFonts w:cstheme="minorHAnsi"/>
          <w:b/>
          <w:color w:val="FF0000"/>
          <w:szCs w:val="24"/>
        </w:rPr>
        <w:t>Non.</w:t>
      </w:r>
      <w:r>
        <w:rPr>
          <w:rFonts w:cstheme="minorHAnsi"/>
          <w:szCs w:val="24"/>
        </w:rPr>
        <w:t xml:space="preserve"> </w:t>
      </w:r>
      <w:r w:rsidRPr="00EF6B48">
        <w:rPr>
          <w:rFonts w:cstheme="minorHAnsi"/>
          <w:szCs w:val="24"/>
        </w:rPr>
        <w:t>Les participations à la protection sociale ainsi que le remboursement des frais de transport domicile travail ne doivent pas être recensés dans les primes et indemnités. Il convient de recenser les primes et indemnités versées sur le fondement de l'article 88 de la loi n° 84-53 du 26 janvier 1984.</w:t>
      </w:r>
    </w:p>
    <w:p w14:paraId="16A98470" w14:textId="77777777" w:rsidR="009300E9" w:rsidRDefault="009300E9" w:rsidP="009300E9">
      <w:pPr>
        <w:jc w:val="both"/>
        <w:rPr>
          <w:rFonts w:cs="Arial"/>
          <w:b/>
          <w:color w:val="00B0F0"/>
          <w:szCs w:val="24"/>
        </w:rPr>
      </w:pPr>
      <w:r>
        <w:rPr>
          <w:rFonts w:cs="Arial"/>
          <w:b/>
          <w:color w:val="00B0F0"/>
          <w:szCs w:val="24"/>
        </w:rPr>
        <w:lastRenderedPageBreak/>
        <w:t>Comment intégrer la rémunération d’un agent qui a changé de catégorie au cours de l’année ?</w:t>
      </w:r>
    </w:p>
    <w:p w14:paraId="004A7BB5" w14:textId="77777777" w:rsidR="009300E9" w:rsidRPr="00063796" w:rsidRDefault="009300E9" w:rsidP="009300E9">
      <w:pPr>
        <w:jc w:val="both"/>
        <w:rPr>
          <w:rFonts w:cs="Arial"/>
          <w:i/>
          <w:color w:val="E36C0A" w:themeColor="accent6" w:themeShade="BF"/>
          <w:szCs w:val="24"/>
        </w:rPr>
      </w:pPr>
      <w:r w:rsidRPr="00063796">
        <w:rPr>
          <w:rFonts w:cs="Arial"/>
          <w:i/>
          <w:color w:val="E36C0A" w:themeColor="accent6" w:themeShade="BF"/>
          <w:szCs w:val="24"/>
        </w:rPr>
        <w:t>Indicateur 3.1.1</w:t>
      </w:r>
    </w:p>
    <w:p w14:paraId="44787903" w14:textId="77777777" w:rsidR="009300E9" w:rsidRPr="003F42C2" w:rsidRDefault="009300E9" w:rsidP="009300E9">
      <w:pPr>
        <w:jc w:val="both"/>
        <w:rPr>
          <w:rFonts w:cs="Arial"/>
          <w:szCs w:val="24"/>
        </w:rPr>
      </w:pPr>
      <w:r w:rsidRPr="003F42C2">
        <w:rPr>
          <w:rFonts w:cs="Arial"/>
          <w:szCs w:val="24"/>
        </w:rPr>
        <w:t xml:space="preserve">Si un agent a changé de catégorie ou de filière au cours de l’année </w:t>
      </w:r>
      <w:r w:rsidRPr="00B4709B">
        <w:rPr>
          <w:rFonts w:cs="Arial"/>
          <w:szCs w:val="24"/>
        </w:rPr>
        <w:t>2021</w:t>
      </w:r>
      <w:r w:rsidRPr="003F42C2">
        <w:rPr>
          <w:rFonts w:cs="Arial"/>
          <w:szCs w:val="24"/>
        </w:rPr>
        <w:t xml:space="preserve">, il faut tenir compte de ce changement. Par exemple, si un agent de catégorie B de la filière administrative est devenu catégorie A de la même filière au 1er juillet </w:t>
      </w:r>
      <w:r w:rsidRPr="00B4709B">
        <w:rPr>
          <w:rFonts w:cs="Arial"/>
          <w:szCs w:val="24"/>
        </w:rPr>
        <w:t>2021</w:t>
      </w:r>
      <w:r w:rsidRPr="003F42C2">
        <w:rPr>
          <w:rFonts w:cs="Arial"/>
          <w:szCs w:val="24"/>
        </w:rPr>
        <w:t>, il faut comptabiliser le montant de sa rémunération annuelle brute pour les six premiers mois de l’année dans la ligne dédiée catégorie B de la filière administrative et le montant de sa rémunération annuelle brute pour les six derniers mois de l’année dans la ligne dédiée à la catégorie A de cette même filière.</w:t>
      </w:r>
    </w:p>
    <w:p w14:paraId="5CC75303" w14:textId="77777777" w:rsidR="009300E9" w:rsidRDefault="009300E9" w:rsidP="009300E9">
      <w:pPr>
        <w:jc w:val="both"/>
        <w:rPr>
          <w:rFonts w:cs="Arial"/>
          <w:b/>
          <w:color w:val="00B0F0"/>
          <w:szCs w:val="24"/>
        </w:rPr>
      </w:pPr>
    </w:p>
    <w:p w14:paraId="65C88A08" w14:textId="77777777" w:rsidR="009300E9" w:rsidRDefault="009300E9" w:rsidP="009300E9">
      <w:pPr>
        <w:jc w:val="both"/>
        <w:rPr>
          <w:i/>
          <w:iCs/>
          <w:color w:val="E36C0A"/>
        </w:rPr>
      </w:pPr>
      <w:r>
        <w:rPr>
          <w:rFonts w:cs="Arial"/>
          <w:b/>
          <w:color w:val="00B0F0"/>
          <w:szCs w:val="24"/>
        </w:rPr>
        <w:t>La participation de l’employeur aux mutuelles, à la prévoyance ou aux titres-restaurant est-elle à comptabiliser dans la colonne «</w:t>
      </w:r>
      <w:r w:rsidRPr="00C8132F">
        <w:rPr>
          <w:b/>
          <w:color w:val="00B0F0"/>
        </w:rPr>
        <w:t> dont primes et indemnités (à l’exception des frais de déplacement) » ?</w:t>
      </w:r>
      <w:r>
        <w:rPr>
          <w:b/>
          <w:color w:val="00B0F0"/>
        </w:rPr>
        <w:t xml:space="preserve"> </w:t>
      </w:r>
      <w:r>
        <w:rPr>
          <w:i/>
          <w:iCs/>
          <w:color w:val="E36C0A"/>
        </w:rPr>
        <w:t>Indicateurs 3.1.1 et 3.2.1</w:t>
      </w:r>
    </w:p>
    <w:p w14:paraId="59643CFB" w14:textId="77777777" w:rsidR="009300E9" w:rsidRPr="00AD2187" w:rsidRDefault="009300E9" w:rsidP="009300E9">
      <w:pPr>
        <w:jc w:val="both"/>
        <w:rPr>
          <w:rFonts w:cs="Arial"/>
          <w:szCs w:val="24"/>
        </w:rPr>
      </w:pPr>
      <w:r w:rsidRPr="000503DB">
        <w:rPr>
          <w:rFonts w:cs="Arial"/>
          <w:b/>
          <w:color w:val="FF0000"/>
          <w:szCs w:val="24"/>
        </w:rPr>
        <w:t>Non.</w:t>
      </w:r>
      <w:r>
        <w:rPr>
          <w:rFonts w:cs="Arial"/>
          <w:szCs w:val="24"/>
        </w:rPr>
        <w:t xml:space="preserve"> La participation de l’employeur n’entre pas dans le champ du régime indemnitaire. Elle n’est donc pas à comptabiliser à la colonne « dont primes et indemnités ».</w:t>
      </w:r>
    </w:p>
    <w:p w14:paraId="75844E7C" w14:textId="77777777" w:rsidR="009300E9" w:rsidRDefault="009300E9" w:rsidP="009300E9">
      <w:pPr>
        <w:jc w:val="both"/>
        <w:rPr>
          <w:rFonts w:cs="Arial"/>
          <w:b/>
          <w:color w:val="00B0F0"/>
          <w:szCs w:val="24"/>
        </w:rPr>
      </w:pPr>
    </w:p>
    <w:p w14:paraId="6FC3DB10" w14:textId="77777777" w:rsidR="009300E9" w:rsidRPr="00CD5550" w:rsidRDefault="009300E9" w:rsidP="009300E9">
      <w:pPr>
        <w:jc w:val="both"/>
        <w:rPr>
          <w:rFonts w:cs="Arial"/>
          <w:b/>
          <w:color w:val="00B0F0"/>
          <w:szCs w:val="24"/>
        </w:rPr>
      </w:pPr>
      <w:r w:rsidRPr="00CD5550">
        <w:rPr>
          <w:rFonts w:cs="Arial"/>
          <w:b/>
          <w:color w:val="00B0F0"/>
          <w:szCs w:val="24"/>
        </w:rPr>
        <w:t>Qu’est-ce que le SFT</w:t>
      </w:r>
      <w:r>
        <w:rPr>
          <w:rFonts w:cs="Arial"/>
          <w:b/>
          <w:color w:val="00B0F0"/>
          <w:szCs w:val="24"/>
        </w:rPr>
        <w:t xml:space="preserve"> – supplément familial de traitement et l’IR – indemnité de résidence </w:t>
      </w:r>
      <w:r w:rsidRPr="00CD5550">
        <w:rPr>
          <w:rFonts w:cs="Arial"/>
          <w:b/>
          <w:color w:val="00B0F0"/>
          <w:szCs w:val="24"/>
        </w:rPr>
        <w:t>?</w:t>
      </w:r>
    </w:p>
    <w:p w14:paraId="47B7E3EE" w14:textId="77777777" w:rsidR="009300E9" w:rsidRPr="00CD5550" w:rsidRDefault="009300E9" w:rsidP="009300E9">
      <w:pPr>
        <w:jc w:val="both"/>
        <w:rPr>
          <w:rFonts w:cs="Arial"/>
          <w:i/>
          <w:color w:val="E36C0A" w:themeColor="accent6" w:themeShade="BF"/>
          <w:szCs w:val="24"/>
        </w:rPr>
      </w:pPr>
      <w:r w:rsidRPr="002D1235">
        <w:rPr>
          <w:rFonts w:cs="Arial"/>
          <w:i/>
          <w:color w:val="E36C0A" w:themeColor="accent6" w:themeShade="BF"/>
          <w:szCs w:val="24"/>
        </w:rPr>
        <w:t>Indicateur 3.1.1</w:t>
      </w:r>
    </w:p>
    <w:p w14:paraId="74B009AF" w14:textId="77777777" w:rsidR="009300E9" w:rsidRDefault="009300E9" w:rsidP="009300E9">
      <w:pPr>
        <w:jc w:val="both"/>
      </w:pPr>
      <w:r w:rsidRPr="002D1235">
        <w:rPr>
          <w:rFonts w:cs="Arial"/>
          <w:szCs w:val="24"/>
        </w:rPr>
        <w:t xml:space="preserve">Le </w:t>
      </w:r>
      <w:r>
        <w:rPr>
          <w:rFonts w:cs="Arial"/>
          <w:szCs w:val="24"/>
        </w:rPr>
        <w:t>s</w:t>
      </w:r>
      <w:r w:rsidRPr="002D1235">
        <w:rPr>
          <w:rFonts w:cs="Arial"/>
          <w:szCs w:val="24"/>
        </w:rPr>
        <w:t>uppl</w:t>
      </w:r>
      <w:r>
        <w:rPr>
          <w:rFonts w:cs="Arial"/>
          <w:szCs w:val="24"/>
        </w:rPr>
        <w:t>ément familial de traitement</w:t>
      </w:r>
      <w:r w:rsidRPr="000118BA">
        <w:rPr>
          <w:rFonts w:cs="Arial"/>
          <w:szCs w:val="24"/>
        </w:rPr>
        <w:t xml:space="preserve"> (SFT) est</w:t>
      </w:r>
      <w:r>
        <w:t xml:space="preserve"> versé à tout agent public, fonctionnaire ou contractuel, qui a au moins un enfant à charge.</w:t>
      </w:r>
    </w:p>
    <w:p w14:paraId="207071D1" w14:textId="77777777" w:rsidR="009300E9" w:rsidRDefault="009300E9" w:rsidP="009300E9">
      <w:pPr>
        <w:jc w:val="both"/>
      </w:pPr>
      <w:r>
        <w:t xml:space="preserve">L’indemnité de résidence (IR) est destinée à compenser les différences de coût de la vie entre les territoires. Elle est égale à un pourcentage du </w:t>
      </w:r>
      <w:r w:rsidRPr="00B96D87">
        <w:t>traitement indiciaire</w:t>
      </w:r>
      <w:r>
        <w:t xml:space="preserve"> brut détenu par l'agent. </w:t>
      </w:r>
      <w:r>
        <w:br/>
        <w:t>Ce pourcentage dépend de la commune d'affectation de l'agent.</w:t>
      </w:r>
    </w:p>
    <w:p w14:paraId="14CB207E" w14:textId="77777777" w:rsidR="009300E9" w:rsidRDefault="009300E9" w:rsidP="009300E9">
      <w:pPr>
        <w:jc w:val="both"/>
        <w:rPr>
          <w:rFonts w:cs="Arial"/>
          <w:color w:val="000000"/>
          <w:szCs w:val="24"/>
        </w:rPr>
      </w:pPr>
    </w:p>
    <w:p w14:paraId="4FAA32C7" w14:textId="77777777" w:rsidR="009300E9" w:rsidRPr="00063796" w:rsidRDefault="009300E9" w:rsidP="009300E9">
      <w:pPr>
        <w:jc w:val="both"/>
        <w:rPr>
          <w:rFonts w:cs="Arial"/>
          <w:b/>
          <w:color w:val="00B0F0"/>
          <w:szCs w:val="24"/>
        </w:rPr>
      </w:pPr>
      <w:r w:rsidRPr="00063796">
        <w:rPr>
          <w:rFonts w:cs="Arial"/>
          <w:b/>
          <w:color w:val="00B0F0"/>
          <w:szCs w:val="24"/>
        </w:rPr>
        <w:t>Où saisir le supplément familial de traitement pour les contractuels sur emploi permanent ?</w:t>
      </w:r>
    </w:p>
    <w:p w14:paraId="4F6ACE30" w14:textId="77777777" w:rsidR="009300E9" w:rsidRPr="00262C33" w:rsidRDefault="009300E9" w:rsidP="009300E9">
      <w:pPr>
        <w:jc w:val="both"/>
        <w:rPr>
          <w:rFonts w:cs="Arial"/>
          <w:i/>
          <w:color w:val="E36C0A" w:themeColor="accent6" w:themeShade="BF"/>
          <w:szCs w:val="24"/>
        </w:rPr>
      </w:pPr>
      <w:r w:rsidRPr="00262C33">
        <w:rPr>
          <w:rFonts w:cs="Arial"/>
          <w:i/>
          <w:color w:val="E36C0A" w:themeColor="accent6" w:themeShade="BF"/>
          <w:szCs w:val="24"/>
        </w:rPr>
        <w:t>Indicateur 3.2.1</w:t>
      </w:r>
    </w:p>
    <w:p w14:paraId="4F74F5BB" w14:textId="78ED9765" w:rsidR="009300E9" w:rsidRDefault="009300E9" w:rsidP="00202B0E">
      <w:pPr>
        <w:jc w:val="both"/>
        <w:rPr>
          <w:rFonts w:ascii="Calibri" w:hAnsi="Calibri"/>
          <w:sz w:val="22"/>
        </w:rPr>
      </w:pPr>
      <w:r>
        <w:t>Le supplément familial de traitement doit être intégré dans la colonne « montant total des rémunérations annuelles brutes ».</w:t>
      </w:r>
    </w:p>
    <w:p w14:paraId="5503EF28" w14:textId="77777777" w:rsidR="009300E9" w:rsidRDefault="009300E9" w:rsidP="009300E9">
      <w:pPr>
        <w:jc w:val="both"/>
        <w:rPr>
          <w:rFonts w:cs="Arial"/>
          <w:color w:val="000000"/>
          <w:szCs w:val="24"/>
        </w:rPr>
      </w:pPr>
    </w:p>
    <w:p w14:paraId="12FAC4C6" w14:textId="77777777" w:rsidR="009300E9" w:rsidRPr="000503DB" w:rsidRDefault="009300E9" w:rsidP="009300E9">
      <w:pPr>
        <w:jc w:val="both"/>
        <w:rPr>
          <w:rFonts w:cs="Arial"/>
          <w:b/>
          <w:color w:val="00B0F0"/>
          <w:szCs w:val="24"/>
        </w:rPr>
      </w:pPr>
      <w:r w:rsidRPr="007E27AF">
        <w:rPr>
          <w:b/>
          <w:color w:val="FF0000"/>
        </w:rPr>
        <w:t xml:space="preserve">Nouveauté RSU 2021 : </w:t>
      </w:r>
      <w:r w:rsidRPr="000503DB">
        <w:rPr>
          <w:rFonts w:cs="Arial"/>
          <w:b/>
          <w:color w:val="00B0F0"/>
          <w:szCs w:val="24"/>
        </w:rPr>
        <w:t>Prime de précarité : un contractuel de la fonction publique y a-t-il droit ?</w:t>
      </w:r>
    </w:p>
    <w:p w14:paraId="395BA158" w14:textId="77777777" w:rsidR="009300E9" w:rsidRDefault="009300E9" w:rsidP="009300E9">
      <w:pPr>
        <w:jc w:val="both"/>
        <w:rPr>
          <w:rFonts w:cs="Arial"/>
          <w:b/>
          <w:color w:val="FF0000"/>
          <w:szCs w:val="24"/>
        </w:rPr>
      </w:pPr>
      <w:r w:rsidRPr="000503DB">
        <w:rPr>
          <w:rFonts w:cs="Arial"/>
          <w:i/>
          <w:color w:val="E36C0A" w:themeColor="accent6" w:themeShade="BF"/>
          <w:szCs w:val="24"/>
        </w:rPr>
        <w:t>Indicateur 3.3.9</w:t>
      </w:r>
      <w:r w:rsidRPr="00CE345E">
        <w:rPr>
          <w:rFonts w:cs="Arial"/>
          <w:b/>
          <w:i/>
          <w:color w:val="FF0000"/>
          <w:szCs w:val="24"/>
        </w:rPr>
        <w:t xml:space="preserve"> </w:t>
      </w:r>
    </w:p>
    <w:p w14:paraId="0B497667" w14:textId="77777777" w:rsidR="009300E9" w:rsidRDefault="009300E9" w:rsidP="009300E9">
      <w:pPr>
        <w:jc w:val="both"/>
      </w:pPr>
      <w:r w:rsidRPr="000503DB">
        <w:t>Depuis le 1er janvier 2021, un agent contractuel de la fonction publique peut bénéficier, dans certains cas et sous certaines conditions, d'une indemnité de fin de contrat, appelée prime de précarité. La prime de précarité est accordée seulement si le contrat a été conclu à partir du 1er janvier 2021.</w:t>
      </w:r>
    </w:p>
    <w:p w14:paraId="1C500132" w14:textId="77777777" w:rsidR="009300E9" w:rsidRDefault="009300E9" w:rsidP="009300E9">
      <w:pPr>
        <w:jc w:val="both"/>
      </w:pPr>
    </w:p>
    <w:p w14:paraId="444AA259" w14:textId="77777777" w:rsidR="009300E9" w:rsidRPr="000503DB" w:rsidRDefault="009300E9" w:rsidP="009300E9">
      <w:pPr>
        <w:jc w:val="both"/>
        <w:rPr>
          <w:rFonts w:cs="Arial"/>
          <w:b/>
          <w:color w:val="00B0F0"/>
          <w:szCs w:val="24"/>
        </w:rPr>
      </w:pPr>
      <w:r w:rsidRPr="007E27AF">
        <w:rPr>
          <w:b/>
          <w:color w:val="FF0000"/>
        </w:rPr>
        <w:t xml:space="preserve">Nouveauté RSU 2021 : </w:t>
      </w:r>
      <w:r>
        <w:rPr>
          <w:b/>
          <w:color w:val="FF0000"/>
        </w:rPr>
        <w:t xml:space="preserve"> </w:t>
      </w:r>
      <w:r w:rsidRPr="000503DB">
        <w:rPr>
          <w:rFonts w:cs="Arial"/>
          <w:b/>
          <w:color w:val="00B0F0"/>
          <w:szCs w:val="24"/>
        </w:rPr>
        <w:t>Quelles sont les conditions à remplir ?</w:t>
      </w:r>
    </w:p>
    <w:p w14:paraId="7E42F93C" w14:textId="77777777" w:rsidR="009300E9" w:rsidRDefault="009300E9" w:rsidP="009300E9">
      <w:pPr>
        <w:jc w:val="both"/>
        <w:rPr>
          <w:rFonts w:cs="Arial"/>
          <w:b/>
          <w:color w:val="FF0000"/>
          <w:szCs w:val="24"/>
        </w:rPr>
      </w:pPr>
      <w:r w:rsidRPr="000503DB">
        <w:rPr>
          <w:rFonts w:cs="Arial"/>
          <w:i/>
          <w:color w:val="E36C0A" w:themeColor="accent6" w:themeShade="BF"/>
          <w:szCs w:val="24"/>
        </w:rPr>
        <w:t>Indicateur 3.3.9</w:t>
      </w:r>
      <w:r w:rsidRPr="00CE345E">
        <w:rPr>
          <w:rFonts w:cs="Arial"/>
          <w:b/>
          <w:i/>
          <w:color w:val="FF0000"/>
          <w:szCs w:val="24"/>
        </w:rPr>
        <w:t xml:space="preserve"> </w:t>
      </w:r>
    </w:p>
    <w:p w14:paraId="6A6068E2" w14:textId="77777777" w:rsidR="009300E9" w:rsidRDefault="009300E9" w:rsidP="009300E9">
      <w:pPr>
        <w:jc w:val="both"/>
      </w:pPr>
    </w:p>
    <w:p w14:paraId="0FA48A22" w14:textId="77777777" w:rsidR="009300E9" w:rsidRDefault="009300E9" w:rsidP="009300E9">
      <w:pPr>
        <w:jc w:val="both"/>
      </w:pPr>
      <w:r>
        <w:t>Pour que l'indemnité de fin de contrat soit accordée, la durée du contrat, renouvellement compris, doit être inférieure ou égale à 1 an. La rémunération brute globale perçue pendant la durée de votre contrat, renouvellement inclus, doit être inférieure ou égale à 3 206,23 € par mois.</w:t>
      </w:r>
    </w:p>
    <w:p w14:paraId="365400A3" w14:textId="77777777" w:rsidR="009300E9" w:rsidRDefault="009300E9" w:rsidP="009300E9">
      <w:pPr>
        <w:jc w:val="both"/>
      </w:pPr>
    </w:p>
    <w:p w14:paraId="4FA92F3A" w14:textId="77777777" w:rsidR="009300E9" w:rsidRDefault="009300E9" w:rsidP="009300E9">
      <w:pPr>
        <w:jc w:val="both"/>
      </w:pPr>
      <w:r>
        <w:t>Si l’agent continue à travailler dans l'administration à la fin de votre contrat, il n’est pas éligible à la prime de fin de contrat. L’agent n’a également pas le droit non plus à la prime de fin de contrat s’il démissionne ou est licencié en cours de contrat ou bien refuse un CDI assorti d'une rémunération au moins équivalente.</w:t>
      </w:r>
    </w:p>
    <w:p w14:paraId="28859EE3" w14:textId="77777777" w:rsidR="009300E9" w:rsidRDefault="009300E9" w:rsidP="009300E9">
      <w:pPr>
        <w:jc w:val="both"/>
      </w:pPr>
    </w:p>
    <w:p w14:paraId="292D23A3" w14:textId="77777777" w:rsidR="009300E9" w:rsidRDefault="009300E9" w:rsidP="009300E9">
      <w:pPr>
        <w:jc w:val="both"/>
      </w:pPr>
      <w:r>
        <w:t>L’agent n’est pas éligible à la prime de précarité si son contrat prend fin pour l'un des motifs suivants :</w:t>
      </w:r>
    </w:p>
    <w:p w14:paraId="43BCEE65" w14:textId="77777777" w:rsidR="009300E9" w:rsidRDefault="009300E9" w:rsidP="009300E9">
      <w:pPr>
        <w:pStyle w:val="Paragraphedeliste"/>
        <w:numPr>
          <w:ilvl w:val="0"/>
          <w:numId w:val="26"/>
        </w:numPr>
        <w:jc w:val="both"/>
      </w:pPr>
      <w:r>
        <w:lastRenderedPageBreak/>
        <w:t>Non-renouvellement d'un titre de séjour</w:t>
      </w:r>
    </w:p>
    <w:p w14:paraId="42126BC9" w14:textId="77777777" w:rsidR="009300E9" w:rsidRDefault="009300E9" w:rsidP="009300E9">
      <w:pPr>
        <w:pStyle w:val="Paragraphedeliste"/>
        <w:numPr>
          <w:ilvl w:val="0"/>
          <w:numId w:val="26"/>
        </w:numPr>
        <w:jc w:val="both"/>
      </w:pPr>
      <w:r>
        <w:t>Déchéance des droits civiques</w:t>
      </w:r>
    </w:p>
    <w:p w14:paraId="57BDE8B7" w14:textId="77777777" w:rsidR="009300E9" w:rsidRDefault="009300E9" w:rsidP="009300E9">
      <w:pPr>
        <w:pStyle w:val="Paragraphedeliste"/>
        <w:numPr>
          <w:ilvl w:val="0"/>
          <w:numId w:val="26"/>
        </w:numPr>
        <w:jc w:val="both"/>
      </w:pPr>
      <w:r>
        <w:t>Interdiction d'exercer un emploi public prononcée par le juge</w:t>
      </w:r>
    </w:p>
    <w:p w14:paraId="2B95A77F" w14:textId="77777777" w:rsidR="009300E9" w:rsidRDefault="009300E9" w:rsidP="009300E9">
      <w:pPr>
        <w:jc w:val="both"/>
      </w:pPr>
    </w:p>
    <w:p w14:paraId="27478602" w14:textId="77777777" w:rsidR="009300E9" w:rsidRPr="00E840F6" w:rsidRDefault="009300E9" w:rsidP="009300E9">
      <w:pPr>
        <w:jc w:val="both"/>
        <w:rPr>
          <w:rFonts w:cs="Arial"/>
          <w:b/>
          <w:color w:val="00B0F0"/>
          <w:szCs w:val="24"/>
        </w:rPr>
      </w:pPr>
      <w:r w:rsidRPr="007E27AF">
        <w:rPr>
          <w:b/>
          <w:color w:val="FF0000"/>
        </w:rPr>
        <w:t xml:space="preserve">Nouveauté RSU 2021 : </w:t>
      </w:r>
      <w:r>
        <w:rPr>
          <w:b/>
          <w:color w:val="FF0000"/>
        </w:rPr>
        <w:t xml:space="preserve"> </w:t>
      </w:r>
      <w:r w:rsidRPr="00E840F6">
        <w:rPr>
          <w:rFonts w:cs="Arial"/>
          <w:b/>
          <w:color w:val="00B0F0"/>
          <w:szCs w:val="24"/>
        </w:rPr>
        <w:t>Quel est le montant de l'indemnité</w:t>
      </w:r>
      <w:r>
        <w:rPr>
          <w:rFonts w:cs="Arial"/>
          <w:b/>
          <w:color w:val="00B0F0"/>
          <w:szCs w:val="24"/>
        </w:rPr>
        <w:t xml:space="preserve"> « </w:t>
      </w:r>
      <w:r w:rsidRPr="000503DB">
        <w:rPr>
          <w:rFonts w:cs="Arial"/>
          <w:b/>
          <w:color w:val="00B0F0"/>
          <w:szCs w:val="24"/>
        </w:rPr>
        <w:t>Prime de précarité</w:t>
      </w:r>
      <w:r>
        <w:rPr>
          <w:rFonts w:cs="Arial"/>
          <w:b/>
          <w:color w:val="00B0F0"/>
          <w:szCs w:val="24"/>
        </w:rPr>
        <w:t> »</w:t>
      </w:r>
      <w:r w:rsidRPr="00E840F6">
        <w:rPr>
          <w:rFonts w:cs="Arial"/>
          <w:b/>
          <w:color w:val="00B0F0"/>
          <w:szCs w:val="24"/>
        </w:rPr>
        <w:t xml:space="preserve"> ?</w:t>
      </w:r>
    </w:p>
    <w:p w14:paraId="7DECD084" w14:textId="77777777" w:rsidR="009300E9" w:rsidRDefault="009300E9" w:rsidP="009300E9">
      <w:pPr>
        <w:jc w:val="both"/>
        <w:rPr>
          <w:rFonts w:cs="Arial"/>
          <w:b/>
          <w:color w:val="FF0000"/>
          <w:szCs w:val="24"/>
        </w:rPr>
      </w:pPr>
      <w:r w:rsidRPr="000503DB">
        <w:rPr>
          <w:rFonts w:cs="Arial"/>
          <w:i/>
          <w:color w:val="E36C0A" w:themeColor="accent6" w:themeShade="BF"/>
          <w:szCs w:val="24"/>
        </w:rPr>
        <w:t>Indicateur 3.3.9</w:t>
      </w:r>
      <w:r w:rsidRPr="00CE345E">
        <w:rPr>
          <w:rFonts w:cs="Arial"/>
          <w:b/>
          <w:i/>
          <w:color w:val="FF0000"/>
          <w:szCs w:val="24"/>
        </w:rPr>
        <w:t xml:space="preserve"> </w:t>
      </w:r>
    </w:p>
    <w:p w14:paraId="01085756" w14:textId="77777777" w:rsidR="009300E9" w:rsidRDefault="009300E9" w:rsidP="009300E9">
      <w:pPr>
        <w:jc w:val="both"/>
      </w:pPr>
      <w:r>
        <w:t>Le montant de l'indemnité de fin de contrat est fixé à 10 % de votre rémunération brute globale perçue pendant la durée de votre contrat, renouvellement inclus. L'indemnité est versée au plus tard 1 mois après la fin du contrat.</w:t>
      </w:r>
    </w:p>
    <w:p w14:paraId="380B29A0" w14:textId="77777777" w:rsidR="009300E9" w:rsidRDefault="009300E9" w:rsidP="009300E9">
      <w:pPr>
        <w:jc w:val="both"/>
      </w:pPr>
    </w:p>
    <w:p w14:paraId="1F48BF7C" w14:textId="77777777" w:rsidR="009300E9" w:rsidRPr="0097732C" w:rsidRDefault="009300E9" w:rsidP="009300E9">
      <w:pPr>
        <w:jc w:val="both"/>
        <w:rPr>
          <w:rFonts w:cs="Arial"/>
          <w:b/>
          <w:color w:val="00B0F0"/>
          <w:szCs w:val="24"/>
        </w:rPr>
      </w:pPr>
      <w:r w:rsidRPr="0097732C">
        <w:rPr>
          <w:rFonts w:cs="Arial"/>
          <w:b/>
          <w:color w:val="00B0F0"/>
          <w:szCs w:val="24"/>
        </w:rPr>
        <w:t>Comment modifier les données sur l’indicateur « Ecarts de rémunération hommes-femmes »</w:t>
      </w:r>
      <w:r>
        <w:rPr>
          <w:rFonts w:cs="Arial"/>
          <w:b/>
          <w:color w:val="00B0F0"/>
          <w:szCs w:val="24"/>
        </w:rPr>
        <w:t xml:space="preserve"> (visible uniquement sur l’export)</w:t>
      </w:r>
      <w:r w:rsidRPr="0097732C">
        <w:rPr>
          <w:rFonts w:cs="Arial"/>
          <w:b/>
          <w:color w:val="00B0F0"/>
          <w:szCs w:val="24"/>
        </w:rPr>
        <w:t> ?</w:t>
      </w:r>
    </w:p>
    <w:p w14:paraId="44E6CD9D" w14:textId="77777777" w:rsidR="009300E9" w:rsidRDefault="009300E9" w:rsidP="009300E9">
      <w:pPr>
        <w:jc w:val="both"/>
        <w:rPr>
          <w:rFonts w:cs="Arial"/>
          <w:b/>
          <w:color w:val="FF0000"/>
          <w:szCs w:val="24"/>
        </w:rPr>
      </w:pPr>
      <w:r w:rsidRPr="00E840F6">
        <w:rPr>
          <w:rFonts w:cs="Arial"/>
          <w:i/>
          <w:color w:val="E36C0A" w:themeColor="accent6" w:themeShade="BF"/>
          <w:szCs w:val="24"/>
        </w:rPr>
        <w:t>Indicateur 3.4.0.</w:t>
      </w:r>
    </w:p>
    <w:p w14:paraId="656AEA82" w14:textId="77777777" w:rsidR="009300E9" w:rsidRDefault="009300E9" w:rsidP="009300E9">
      <w:pPr>
        <w:jc w:val="both"/>
      </w:pPr>
    </w:p>
    <w:p w14:paraId="51B35B56" w14:textId="77777777" w:rsidR="009300E9" w:rsidRDefault="009300E9" w:rsidP="009300E9">
      <w:pPr>
        <w:jc w:val="both"/>
      </w:pPr>
      <w:r w:rsidRPr="0097732C">
        <w:t xml:space="preserve">Cet indicateur reprend les informations par ailleurs disponibles dans différents indicateurs du </w:t>
      </w:r>
      <w:r>
        <w:t>rapport</w:t>
      </w:r>
      <w:r w:rsidRPr="0097732C">
        <w:t xml:space="preserve"> social</w:t>
      </w:r>
      <w:r>
        <w:t xml:space="preserve"> unique (Indicateurs 1.1.4 &amp; 1.2.4)</w:t>
      </w:r>
      <w:r w:rsidRPr="0097732C">
        <w:t xml:space="preserve">. Il a pour but de </w:t>
      </w:r>
      <w:r w:rsidRPr="0097732C">
        <w:rPr>
          <w:b/>
          <w:color w:val="FF0000"/>
        </w:rPr>
        <w:t>calculer automatiquement les écarts de salaire</w:t>
      </w:r>
      <w:r w:rsidRPr="0097732C">
        <w:t xml:space="preserve"> entre hommes et femmes et n’est pas exporté dans le fichier transmis à la DGCL.</w:t>
      </w:r>
    </w:p>
    <w:p w14:paraId="68C3D179" w14:textId="77777777" w:rsidR="009300E9" w:rsidRPr="000503DB" w:rsidRDefault="009300E9" w:rsidP="009300E9">
      <w:pPr>
        <w:jc w:val="both"/>
      </w:pPr>
      <w:r>
        <w:t>Pour modifier les données, il convient de modifier les données saisies sur les indicateurs 1.1.4 &amp; 1.2.4.</w:t>
      </w:r>
    </w:p>
    <w:p w14:paraId="3B4809FD" w14:textId="77777777" w:rsidR="009300E9" w:rsidRDefault="009300E9" w:rsidP="009300E9">
      <w:pPr>
        <w:jc w:val="both"/>
        <w:rPr>
          <w:rFonts w:cs="Arial"/>
          <w:b/>
          <w:i/>
          <w:color w:val="FF0000"/>
          <w:szCs w:val="24"/>
        </w:rPr>
      </w:pPr>
    </w:p>
    <w:p w14:paraId="55B4127D" w14:textId="77777777" w:rsidR="009300E9" w:rsidRPr="007F71E8" w:rsidRDefault="009300E9" w:rsidP="009300E9">
      <w:pPr>
        <w:jc w:val="both"/>
        <w:rPr>
          <w:rFonts w:cs="Arial"/>
          <w:b/>
          <w:color w:val="00B0F0"/>
          <w:szCs w:val="24"/>
        </w:rPr>
      </w:pPr>
      <w:r w:rsidRPr="007E27AF">
        <w:rPr>
          <w:b/>
          <w:color w:val="FF0000"/>
        </w:rPr>
        <w:t xml:space="preserve">Nouveauté RSU 2021 : </w:t>
      </w:r>
      <w:r>
        <w:rPr>
          <w:b/>
          <w:color w:val="FF0000"/>
        </w:rPr>
        <w:t xml:space="preserve"> </w:t>
      </w:r>
      <w:r w:rsidRPr="007F71E8">
        <w:rPr>
          <w:rFonts w:cs="Arial"/>
          <w:b/>
          <w:color w:val="00B0F0"/>
          <w:szCs w:val="24"/>
        </w:rPr>
        <w:t>Quelle collectivité doit saisir la masse salariale brute annuelle cumulée des dix rémunérations les plus élevées en 2021 ?</w:t>
      </w:r>
    </w:p>
    <w:p w14:paraId="78362E9B" w14:textId="77777777" w:rsidR="009300E9" w:rsidRDefault="009300E9" w:rsidP="009300E9">
      <w:pPr>
        <w:jc w:val="both"/>
        <w:rPr>
          <w:rFonts w:cs="Arial"/>
          <w:b/>
          <w:color w:val="FF0000"/>
          <w:szCs w:val="24"/>
        </w:rPr>
      </w:pPr>
      <w:r w:rsidRPr="00E840F6">
        <w:rPr>
          <w:rFonts w:cs="Arial"/>
          <w:i/>
          <w:color w:val="E36C0A" w:themeColor="accent6" w:themeShade="BF"/>
          <w:szCs w:val="24"/>
        </w:rPr>
        <w:t>Indicateur 3.4.0.1</w:t>
      </w:r>
      <w:r w:rsidRPr="00CE345E">
        <w:rPr>
          <w:rFonts w:cs="Arial"/>
          <w:b/>
          <w:i/>
          <w:color w:val="FF0000"/>
          <w:szCs w:val="24"/>
        </w:rPr>
        <w:t xml:space="preserve"> </w:t>
      </w:r>
    </w:p>
    <w:p w14:paraId="51A6F169" w14:textId="77777777" w:rsidR="009300E9" w:rsidRPr="007F71E8" w:rsidRDefault="009300E9" w:rsidP="009300E9">
      <w:pPr>
        <w:jc w:val="both"/>
      </w:pPr>
      <w:r>
        <w:t>Cet i</w:t>
      </w:r>
      <w:r w:rsidRPr="007F71E8">
        <w:t>ndicateur permet de déterminer la somme des dix plus hautes rémunérations, le nombre de femmes bénéficiaires, le nombre d’hommes bénéficiaires et la durée cumulée en nombre de mois</w:t>
      </w:r>
      <w:r>
        <w:t xml:space="preserve"> pour les </w:t>
      </w:r>
      <w:r w:rsidRPr="007F71E8">
        <w:t>départements, régions, collectivités territoriales de plus de 80 000 habitants ou les établissements public de coopération intercommunale à fiscalité propre de plus de 80 000 habitants.</w:t>
      </w:r>
    </w:p>
    <w:p w14:paraId="0C8821CA" w14:textId="77777777" w:rsidR="009300E9" w:rsidRPr="00CE345E" w:rsidRDefault="009300E9" w:rsidP="009300E9">
      <w:pPr>
        <w:jc w:val="both"/>
        <w:rPr>
          <w:rFonts w:cs="Arial"/>
          <w:b/>
          <w:color w:val="FF0000"/>
          <w:szCs w:val="24"/>
        </w:rPr>
      </w:pPr>
    </w:p>
    <w:p w14:paraId="5D84F149" w14:textId="77777777" w:rsidR="009300E9" w:rsidRDefault="009300E9" w:rsidP="009300E9">
      <w:pPr>
        <w:jc w:val="both"/>
        <w:rPr>
          <w:rFonts w:cs="Arial"/>
          <w:b/>
          <w:color w:val="00B0F0"/>
          <w:szCs w:val="24"/>
        </w:rPr>
      </w:pPr>
      <w:r w:rsidRPr="00337722">
        <w:rPr>
          <w:rFonts w:cs="Arial"/>
          <w:b/>
          <w:color w:val="00B0F0"/>
          <w:szCs w:val="24"/>
        </w:rPr>
        <w:t>Quels sont les modes de gestion de l'indemnisation chômage des anciens agents ?</w:t>
      </w:r>
      <w:r>
        <w:rPr>
          <w:rFonts w:cs="Arial"/>
          <w:b/>
          <w:color w:val="00B0F0"/>
          <w:szCs w:val="24"/>
        </w:rPr>
        <w:t xml:space="preserve"> </w:t>
      </w:r>
    </w:p>
    <w:p w14:paraId="5029727B" w14:textId="77777777" w:rsidR="009300E9" w:rsidRPr="000118BA" w:rsidRDefault="009300E9" w:rsidP="009300E9">
      <w:pPr>
        <w:jc w:val="both"/>
        <w:rPr>
          <w:rFonts w:cs="Arial"/>
          <w:i/>
          <w:color w:val="E36C0A" w:themeColor="accent6" w:themeShade="BF"/>
          <w:szCs w:val="24"/>
        </w:rPr>
      </w:pPr>
      <w:r w:rsidRPr="00606569">
        <w:rPr>
          <w:rFonts w:cs="Arial"/>
          <w:i/>
          <w:color w:val="E36C0A" w:themeColor="accent6" w:themeShade="BF"/>
          <w:szCs w:val="24"/>
        </w:rPr>
        <w:t>Indicateur</w:t>
      </w:r>
      <w:r>
        <w:rPr>
          <w:rFonts w:cs="Arial"/>
          <w:i/>
          <w:color w:val="E36C0A" w:themeColor="accent6" w:themeShade="BF"/>
          <w:szCs w:val="24"/>
        </w:rPr>
        <w:t>s</w:t>
      </w:r>
      <w:r w:rsidRPr="00606569">
        <w:rPr>
          <w:rFonts w:cs="Arial"/>
          <w:i/>
          <w:color w:val="E36C0A" w:themeColor="accent6" w:themeShade="BF"/>
          <w:szCs w:val="24"/>
        </w:rPr>
        <w:t xml:space="preserve"> 3.4.1 et 3.4.2 </w:t>
      </w:r>
      <w:r>
        <w:rPr>
          <w:rFonts w:cs="Arial"/>
          <w:i/>
          <w:color w:val="E36C0A" w:themeColor="accent6" w:themeShade="BF"/>
          <w:szCs w:val="24"/>
        </w:rPr>
        <w:t>–</w:t>
      </w:r>
      <w:r w:rsidRPr="00606569">
        <w:rPr>
          <w:rFonts w:cs="Arial"/>
          <w:i/>
          <w:color w:val="E36C0A" w:themeColor="accent6" w:themeShade="BF"/>
          <w:szCs w:val="24"/>
        </w:rPr>
        <w:t xml:space="preserve"> </w:t>
      </w:r>
      <w:r>
        <w:rPr>
          <w:rFonts w:cs="Arial"/>
          <w:i/>
          <w:color w:val="E36C0A" w:themeColor="accent6" w:themeShade="BF"/>
          <w:szCs w:val="24"/>
        </w:rPr>
        <w:t>« </w:t>
      </w:r>
      <w:r w:rsidRPr="00606569">
        <w:rPr>
          <w:rFonts w:cs="Arial"/>
          <w:i/>
          <w:color w:val="E36C0A" w:themeColor="accent6" w:themeShade="BF"/>
          <w:szCs w:val="24"/>
        </w:rPr>
        <w:t>Indemnisation du chômage</w:t>
      </w:r>
      <w:r>
        <w:rPr>
          <w:rFonts w:cs="Arial"/>
          <w:i/>
          <w:color w:val="E36C0A" w:themeColor="accent6" w:themeShade="BF"/>
          <w:szCs w:val="24"/>
        </w:rPr>
        <w:t> »</w:t>
      </w:r>
    </w:p>
    <w:p w14:paraId="6119C747" w14:textId="77777777" w:rsidR="009300E9" w:rsidRPr="0056626D" w:rsidRDefault="009300E9" w:rsidP="009300E9">
      <w:pPr>
        <w:pStyle w:val="Paragraphedeliste"/>
        <w:numPr>
          <w:ilvl w:val="0"/>
          <w:numId w:val="22"/>
        </w:numPr>
        <w:ind w:left="714" w:hanging="357"/>
        <w:jc w:val="both"/>
        <w:rPr>
          <w:rFonts w:cs="Arial"/>
          <w:color w:val="000000"/>
          <w:szCs w:val="24"/>
        </w:rPr>
      </w:pPr>
      <w:r>
        <w:rPr>
          <w:rFonts w:cs="Arial"/>
          <w:color w:val="000000"/>
          <w:szCs w:val="24"/>
        </w:rPr>
        <w:t>Cas de l</w:t>
      </w:r>
      <w:r w:rsidRPr="0056626D">
        <w:rPr>
          <w:rFonts w:cs="Arial"/>
          <w:color w:val="000000"/>
          <w:szCs w:val="24"/>
        </w:rPr>
        <w:t>'auto-assurance</w:t>
      </w:r>
      <w:r>
        <w:rPr>
          <w:rFonts w:cs="Arial"/>
          <w:color w:val="000000"/>
          <w:szCs w:val="24"/>
        </w:rPr>
        <w:t> :</w:t>
      </w:r>
    </w:p>
    <w:p w14:paraId="34FECC87" w14:textId="77777777" w:rsidR="009300E9" w:rsidRDefault="009300E9" w:rsidP="009300E9">
      <w:pPr>
        <w:pStyle w:val="Paragraphedeliste"/>
        <w:numPr>
          <w:ilvl w:val="0"/>
          <w:numId w:val="16"/>
        </w:numPr>
        <w:ind w:left="1134"/>
        <w:jc w:val="both"/>
        <w:rPr>
          <w:rFonts w:cs="Arial"/>
          <w:color w:val="000000"/>
          <w:szCs w:val="24"/>
        </w:rPr>
      </w:pPr>
      <w:r w:rsidRPr="00F83670">
        <w:rPr>
          <w:rFonts w:cs="Arial"/>
          <w:b/>
          <w:color w:val="000000"/>
          <w:szCs w:val="24"/>
        </w:rPr>
        <w:t>Sans convention de gestion</w:t>
      </w:r>
      <w:r w:rsidRPr="000118BA">
        <w:rPr>
          <w:rFonts w:cs="Arial"/>
          <w:color w:val="000000"/>
          <w:szCs w:val="24"/>
        </w:rPr>
        <w:t xml:space="preserve"> </w:t>
      </w:r>
      <w:r w:rsidRPr="00F83670">
        <w:rPr>
          <w:rFonts w:cs="Arial"/>
          <w:b/>
          <w:color w:val="000000"/>
          <w:szCs w:val="24"/>
        </w:rPr>
        <w:t>avec Pôle Emploi :</w:t>
      </w:r>
      <w:r w:rsidRPr="000118BA">
        <w:rPr>
          <w:rFonts w:cs="Arial"/>
          <w:color w:val="000000"/>
          <w:szCs w:val="24"/>
        </w:rPr>
        <w:t xml:space="preserve"> la collectivité assume la gestion administrative de l'allocation et le risque financier en versant si nécessaire des indemnités directement aux bénéficiaires</w:t>
      </w:r>
    </w:p>
    <w:p w14:paraId="2DF939CD" w14:textId="77777777" w:rsidR="009300E9" w:rsidRDefault="009300E9" w:rsidP="009300E9">
      <w:pPr>
        <w:pStyle w:val="Paragraphedeliste"/>
        <w:numPr>
          <w:ilvl w:val="0"/>
          <w:numId w:val="16"/>
        </w:numPr>
        <w:ind w:left="1134"/>
        <w:jc w:val="both"/>
        <w:rPr>
          <w:rFonts w:cs="Arial"/>
          <w:color w:val="000000"/>
          <w:szCs w:val="24"/>
        </w:rPr>
      </w:pPr>
      <w:r w:rsidRPr="00F83670">
        <w:rPr>
          <w:rFonts w:cs="Arial"/>
          <w:b/>
          <w:color w:val="000000"/>
          <w:szCs w:val="24"/>
        </w:rPr>
        <w:t>Avec convention de gestion avec Pôle Emploi :</w:t>
      </w:r>
      <w:r w:rsidRPr="000118BA">
        <w:rPr>
          <w:rFonts w:cs="Arial"/>
          <w:color w:val="000000"/>
          <w:szCs w:val="24"/>
        </w:rPr>
        <w:t xml:space="preserve"> la collectivité assume le risque financier en versant si nécessaire des indemnités directement aux bénéficiaires mais délègue la gestion administrative de l'allocation.</w:t>
      </w:r>
    </w:p>
    <w:p w14:paraId="4D2B3062" w14:textId="77777777" w:rsidR="009300E9" w:rsidRPr="000118BA" w:rsidRDefault="009300E9" w:rsidP="009300E9">
      <w:pPr>
        <w:pStyle w:val="Paragraphedeliste"/>
        <w:numPr>
          <w:ilvl w:val="0"/>
          <w:numId w:val="16"/>
        </w:numPr>
        <w:ind w:left="1134"/>
        <w:jc w:val="both"/>
        <w:rPr>
          <w:rFonts w:cs="Arial"/>
          <w:color w:val="000000"/>
          <w:szCs w:val="24"/>
        </w:rPr>
      </w:pPr>
    </w:p>
    <w:p w14:paraId="0CEC0150" w14:textId="77777777" w:rsidR="009300E9" w:rsidRPr="00075EA9" w:rsidRDefault="009300E9" w:rsidP="009300E9">
      <w:pPr>
        <w:spacing w:after="120"/>
        <w:jc w:val="both"/>
        <w:rPr>
          <w:rFonts w:cs="Arial"/>
          <w:color w:val="000000"/>
          <w:szCs w:val="24"/>
        </w:rPr>
      </w:pPr>
      <w:r w:rsidRPr="00075EA9">
        <w:rPr>
          <w:rFonts w:cs="Arial"/>
          <w:color w:val="000000"/>
          <w:szCs w:val="24"/>
        </w:rPr>
        <w:t xml:space="preserve">PRÉCISIONS : Le système de l'auto-assurance est obligatoire concernant les fonctionnaires, il peut être étendu aux </w:t>
      </w:r>
      <w:r>
        <w:rPr>
          <w:rFonts w:cs="Arial"/>
          <w:color w:val="000000"/>
          <w:szCs w:val="24"/>
        </w:rPr>
        <w:t>contractuels</w:t>
      </w:r>
      <w:r w:rsidRPr="00075EA9">
        <w:rPr>
          <w:rFonts w:cs="Arial"/>
          <w:color w:val="000000"/>
          <w:szCs w:val="24"/>
        </w:rPr>
        <w:t>.</w:t>
      </w:r>
    </w:p>
    <w:p w14:paraId="54FB0824" w14:textId="77777777" w:rsidR="009300E9" w:rsidRDefault="009300E9" w:rsidP="009300E9">
      <w:pPr>
        <w:pStyle w:val="Paragraphedeliste"/>
        <w:numPr>
          <w:ilvl w:val="0"/>
          <w:numId w:val="22"/>
        </w:numPr>
        <w:jc w:val="both"/>
        <w:rPr>
          <w:rFonts w:cs="Arial"/>
          <w:color w:val="000000"/>
          <w:szCs w:val="24"/>
        </w:rPr>
      </w:pPr>
      <w:r w:rsidRPr="0056626D">
        <w:rPr>
          <w:rFonts w:cs="Arial"/>
          <w:color w:val="000000"/>
          <w:szCs w:val="24"/>
        </w:rPr>
        <w:t xml:space="preserve">L‘adhésion au régime d'assurance chômage pour les </w:t>
      </w:r>
      <w:r>
        <w:rPr>
          <w:rFonts w:cs="Arial"/>
          <w:color w:val="000000"/>
          <w:szCs w:val="24"/>
        </w:rPr>
        <w:t>contractuels</w:t>
      </w:r>
      <w:r w:rsidRPr="0056626D">
        <w:rPr>
          <w:rFonts w:cs="Arial"/>
          <w:color w:val="000000"/>
          <w:szCs w:val="24"/>
        </w:rPr>
        <w:t xml:space="preserve"> : </w:t>
      </w:r>
    </w:p>
    <w:p w14:paraId="3D74421E" w14:textId="77777777" w:rsidR="009300E9" w:rsidRDefault="009300E9" w:rsidP="009300E9">
      <w:pPr>
        <w:pStyle w:val="Paragraphedeliste"/>
        <w:numPr>
          <w:ilvl w:val="0"/>
          <w:numId w:val="16"/>
        </w:numPr>
        <w:ind w:left="1134"/>
        <w:jc w:val="both"/>
        <w:rPr>
          <w:rFonts w:cs="Arial"/>
          <w:color w:val="000000"/>
          <w:szCs w:val="24"/>
        </w:rPr>
      </w:pPr>
      <w:r w:rsidRPr="0056626D">
        <w:rPr>
          <w:rFonts w:cs="Arial"/>
          <w:color w:val="000000"/>
          <w:szCs w:val="24"/>
        </w:rPr>
        <w:t xml:space="preserve">Dans ce cas, c'est l'UNEDIC qui </w:t>
      </w:r>
      <w:proofErr w:type="gramStart"/>
      <w:r w:rsidRPr="0056626D">
        <w:rPr>
          <w:rFonts w:cs="Arial"/>
          <w:color w:val="000000"/>
          <w:szCs w:val="24"/>
        </w:rPr>
        <w:t>sera en charge</w:t>
      </w:r>
      <w:proofErr w:type="gramEnd"/>
      <w:r w:rsidRPr="0056626D">
        <w:rPr>
          <w:rFonts w:cs="Arial"/>
          <w:color w:val="000000"/>
          <w:szCs w:val="24"/>
        </w:rPr>
        <w:t xml:space="preserve"> du versement des indemnités "chômage" et de la gestion administrative.</w:t>
      </w:r>
    </w:p>
    <w:p w14:paraId="30194819" w14:textId="77777777" w:rsidR="009300E9" w:rsidRDefault="009300E9" w:rsidP="009300E9">
      <w:pPr>
        <w:jc w:val="both"/>
        <w:rPr>
          <w:rFonts w:cs="Arial"/>
          <w:color w:val="000000"/>
          <w:szCs w:val="24"/>
        </w:rPr>
      </w:pPr>
    </w:p>
    <w:p w14:paraId="54EFC0B2" w14:textId="77777777" w:rsidR="009300E9" w:rsidRDefault="009300E9" w:rsidP="009300E9">
      <w:pPr>
        <w:jc w:val="both"/>
        <w:rPr>
          <w:rFonts w:cs="Arial"/>
          <w:color w:val="000000"/>
          <w:szCs w:val="24"/>
        </w:rPr>
      </w:pPr>
    </w:p>
    <w:p w14:paraId="0CC04FCC" w14:textId="77777777" w:rsidR="009300E9" w:rsidRDefault="009300E9" w:rsidP="009300E9">
      <w:pPr>
        <w:jc w:val="both"/>
        <w:rPr>
          <w:rFonts w:cs="Arial"/>
          <w:color w:val="000000"/>
          <w:szCs w:val="24"/>
        </w:rPr>
      </w:pPr>
    </w:p>
    <w:p w14:paraId="48C20480" w14:textId="77777777" w:rsidR="009300E9" w:rsidRPr="00F83670" w:rsidRDefault="009300E9" w:rsidP="009300E9">
      <w:pPr>
        <w:jc w:val="both"/>
        <w:rPr>
          <w:rFonts w:cs="Arial"/>
          <w:color w:val="000000"/>
          <w:szCs w:val="24"/>
        </w:rPr>
      </w:pPr>
    </w:p>
    <w:p w14:paraId="56336F9A" w14:textId="77777777" w:rsidR="009300E9" w:rsidRPr="00AB15BC" w:rsidRDefault="009300E9" w:rsidP="009300E9">
      <w:pPr>
        <w:jc w:val="both"/>
        <w:rPr>
          <w:rFonts w:cs="Arial"/>
          <w:b/>
          <w:color w:val="000000"/>
          <w:szCs w:val="24"/>
        </w:rPr>
      </w:pPr>
      <w:r w:rsidRPr="00337722">
        <w:rPr>
          <w:rFonts w:cs="Arial"/>
          <w:b/>
          <w:color w:val="00B0F0"/>
          <w:szCs w:val="24"/>
        </w:rPr>
        <w:lastRenderedPageBreak/>
        <w:t>Faut-il renseigner les dépenses réelles de fonctionnement ou les dépenses totales ?</w:t>
      </w:r>
    </w:p>
    <w:p w14:paraId="0E4D3D44" w14:textId="77777777" w:rsidR="009300E9" w:rsidRPr="00AB15BC" w:rsidRDefault="009300E9" w:rsidP="009300E9">
      <w:pPr>
        <w:jc w:val="both"/>
        <w:rPr>
          <w:color w:val="000000"/>
          <w:szCs w:val="24"/>
          <w:u w:val="single"/>
        </w:rPr>
      </w:pPr>
      <w:r w:rsidRPr="00CE345E">
        <w:rPr>
          <w:rFonts w:cs="Arial"/>
          <w:b/>
          <w:i/>
          <w:color w:val="FF0000"/>
          <w:szCs w:val="24"/>
        </w:rPr>
        <w:t>Indicateur 3.4.</w:t>
      </w:r>
      <w:r>
        <w:rPr>
          <w:rFonts w:cs="Arial"/>
          <w:b/>
          <w:i/>
          <w:color w:val="FF0000"/>
          <w:szCs w:val="24"/>
        </w:rPr>
        <w:t>7</w:t>
      </w:r>
      <w:r w:rsidRPr="00CE345E">
        <w:rPr>
          <w:rFonts w:cs="Arial"/>
          <w:i/>
          <w:color w:val="E36C0A" w:themeColor="accent6" w:themeShade="BF"/>
          <w:szCs w:val="24"/>
        </w:rPr>
        <w:t> </w:t>
      </w:r>
      <w:r>
        <w:rPr>
          <w:rFonts w:cs="Arial"/>
          <w:i/>
          <w:color w:val="E36C0A" w:themeColor="accent6" w:themeShade="BF"/>
          <w:szCs w:val="24"/>
        </w:rPr>
        <w:t>– « </w:t>
      </w:r>
      <w:r w:rsidRPr="00AA79B6">
        <w:rPr>
          <w:rFonts w:cs="Arial"/>
          <w:i/>
          <w:color w:val="E36C0A" w:themeColor="accent6" w:themeShade="BF"/>
          <w:szCs w:val="24"/>
        </w:rPr>
        <w:t>Dépenses de fonctionnement et dépenses de personnel</w:t>
      </w:r>
      <w:r>
        <w:rPr>
          <w:rFonts w:cs="Arial"/>
          <w:i/>
          <w:color w:val="E36C0A" w:themeColor="accent6" w:themeShade="BF"/>
          <w:szCs w:val="24"/>
        </w:rPr>
        <w:t> »</w:t>
      </w:r>
    </w:p>
    <w:p w14:paraId="443416C5" w14:textId="77777777" w:rsidR="009300E9" w:rsidRDefault="009300E9" w:rsidP="009300E9">
      <w:pPr>
        <w:jc w:val="both"/>
      </w:pPr>
      <w:r w:rsidRPr="00AB15BC">
        <w:rPr>
          <w:rFonts w:cs="Arial"/>
          <w:color w:val="000000"/>
          <w:szCs w:val="24"/>
        </w:rPr>
        <w:t>Il faut renseigner les dépenses réelles du compte administratif.</w:t>
      </w:r>
      <w:r>
        <w:rPr>
          <w:rFonts w:cs="Arial"/>
          <w:color w:val="000000"/>
          <w:szCs w:val="24"/>
        </w:rPr>
        <w:t xml:space="preserve"> L</w:t>
      </w:r>
      <w:r w:rsidRPr="00E937C0">
        <w:rPr>
          <w:rFonts w:cs="Arial"/>
          <w:color w:val="000000"/>
          <w:szCs w:val="24"/>
        </w:rPr>
        <w:t>e compte administratif</w:t>
      </w:r>
      <w:r>
        <w:rPr>
          <w:rFonts w:cs="Arial"/>
          <w:color w:val="000000"/>
          <w:szCs w:val="24"/>
        </w:rPr>
        <w:t>,</w:t>
      </w:r>
      <w:r w:rsidRPr="00E937C0">
        <w:rPr>
          <w:rFonts w:cs="Arial"/>
          <w:color w:val="000000"/>
          <w:szCs w:val="24"/>
        </w:rPr>
        <w:t xml:space="preserve"> établi par l’ordonnateur</w:t>
      </w:r>
      <w:r>
        <w:rPr>
          <w:rFonts w:cs="Arial"/>
          <w:color w:val="000000"/>
          <w:szCs w:val="24"/>
        </w:rPr>
        <w:t>,</w:t>
      </w:r>
      <w:r w:rsidRPr="00E937C0">
        <w:rPr>
          <w:rFonts w:cs="Arial"/>
          <w:color w:val="000000"/>
          <w:szCs w:val="24"/>
        </w:rPr>
        <w:t xml:space="preserve"> </w:t>
      </w:r>
      <w:r>
        <w:t>rapproche les prévisions ou autorisations inscrites au budget (au niveau du chapitre ou de l’article selon les dispositions arrêtées lors du vote du budget primitif) des réalisations effectives en dépenses (mandats) et en recettes (titres).</w:t>
      </w:r>
    </w:p>
    <w:p w14:paraId="1D5A5ED5" w14:textId="77777777" w:rsidR="009300E9" w:rsidRPr="00AB15BC" w:rsidRDefault="009300E9" w:rsidP="009300E9">
      <w:pPr>
        <w:pStyle w:val="NormalWeb"/>
        <w:spacing w:before="0" w:after="0"/>
        <w:jc w:val="both"/>
        <w:rPr>
          <w:rFonts w:cs="Arial"/>
          <w:color w:val="000000"/>
          <w:szCs w:val="24"/>
        </w:rPr>
      </w:pPr>
    </w:p>
    <w:p w14:paraId="2EF4CDFF" w14:textId="77777777" w:rsidR="009300E9" w:rsidRDefault="009300E9" w:rsidP="009300E9">
      <w:pPr>
        <w:jc w:val="both"/>
        <w:rPr>
          <w:rFonts w:cs="Arial"/>
          <w:b/>
          <w:color w:val="00B0F0"/>
          <w:szCs w:val="24"/>
        </w:rPr>
      </w:pPr>
      <w:r w:rsidRPr="00337722">
        <w:rPr>
          <w:rFonts w:cs="Arial"/>
          <w:b/>
          <w:color w:val="00B0F0"/>
          <w:szCs w:val="24"/>
        </w:rPr>
        <w:t>Concernant les « </w:t>
      </w:r>
      <w:r>
        <w:rPr>
          <w:rFonts w:cs="Arial"/>
          <w:b/>
          <w:color w:val="00B0F0"/>
          <w:szCs w:val="24"/>
        </w:rPr>
        <w:t>c</w:t>
      </w:r>
      <w:r w:rsidRPr="00337722">
        <w:rPr>
          <w:rFonts w:cs="Arial"/>
          <w:b/>
          <w:color w:val="00B0F0"/>
          <w:szCs w:val="24"/>
        </w:rPr>
        <w:t xml:space="preserve">harges de personnel », doit-on inclure les charges relatives au médecin du travail, au </w:t>
      </w:r>
      <w:r>
        <w:rPr>
          <w:rFonts w:cs="Arial"/>
          <w:b/>
          <w:color w:val="00B0F0"/>
          <w:szCs w:val="24"/>
        </w:rPr>
        <w:t>comité des œuvres sociales (</w:t>
      </w:r>
      <w:r w:rsidRPr="00337722">
        <w:rPr>
          <w:rFonts w:cs="Arial"/>
          <w:b/>
          <w:color w:val="00B0F0"/>
          <w:szCs w:val="24"/>
        </w:rPr>
        <w:t>COS</w:t>
      </w:r>
      <w:r>
        <w:rPr>
          <w:rFonts w:cs="Arial"/>
          <w:b/>
          <w:color w:val="00B0F0"/>
          <w:szCs w:val="24"/>
        </w:rPr>
        <w:t>)</w:t>
      </w:r>
      <w:r w:rsidRPr="00337722">
        <w:rPr>
          <w:rFonts w:cs="Arial"/>
          <w:b/>
          <w:color w:val="00B0F0"/>
          <w:szCs w:val="24"/>
        </w:rPr>
        <w:t xml:space="preserve"> et à la formation professionnelle ?</w:t>
      </w:r>
    </w:p>
    <w:p w14:paraId="008F8775" w14:textId="77777777" w:rsidR="009300E9" w:rsidRPr="00AB15BC" w:rsidRDefault="009300E9" w:rsidP="009300E9">
      <w:pPr>
        <w:jc w:val="both"/>
        <w:rPr>
          <w:color w:val="000000"/>
          <w:szCs w:val="24"/>
          <w:u w:val="single"/>
        </w:rPr>
      </w:pPr>
      <w:r w:rsidRPr="00CE345E">
        <w:rPr>
          <w:rFonts w:cs="Arial"/>
          <w:b/>
          <w:i/>
          <w:color w:val="FF0000"/>
          <w:szCs w:val="24"/>
        </w:rPr>
        <w:t>Indicateur 3.4.</w:t>
      </w:r>
      <w:r>
        <w:rPr>
          <w:rFonts w:cs="Arial"/>
          <w:b/>
          <w:i/>
          <w:color w:val="FF0000"/>
          <w:szCs w:val="24"/>
        </w:rPr>
        <w:t>7</w:t>
      </w:r>
      <w:r w:rsidRPr="00CE345E">
        <w:rPr>
          <w:rFonts w:cs="Arial"/>
          <w:i/>
          <w:color w:val="E36C0A" w:themeColor="accent6" w:themeShade="BF"/>
          <w:szCs w:val="24"/>
        </w:rPr>
        <w:t> </w:t>
      </w:r>
      <w:r>
        <w:rPr>
          <w:rFonts w:cs="Arial"/>
          <w:i/>
          <w:color w:val="E36C0A" w:themeColor="accent6" w:themeShade="BF"/>
          <w:szCs w:val="24"/>
        </w:rPr>
        <w:t>– « </w:t>
      </w:r>
      <w:r w:rsidRPr="00AA79B6">
        <w:rPr>
          <w:rFonts w:cs="Arial"/>
          <w:i/>
          <w:color w:val="E36C0A" w:themeColor="accent6" w:themeShade="BF"/>
          <w:szCs w:val="24"/>
        </w:rPr>
        <w:t>Dépenses de fonctionnement et dépenses de personnel</w:t>
      </w:r>
      <w:r>
        <w:rPr>
          <w:rFonts w:cs="Arial"/>
          <w:i/>
          <w:color w:val="E36C0A" w:themeColor="accent6" w:themeShade="BF"/>
          <w:szCs w:val="24"/>
        </w:rPr>
        <w:t> »</w:t>
      </w:r>
    </w:p>
    <w:p w14:paraId="1D4C427D" w14:textId="77777777" w:rsidR="009300E9" w:rsidRDefault="009300E9" w:rsidP="009300E9">
      <w:pPr>
        <w:jc w:val="both"/>
        <w:rPr>
          <w:rFonts w:cs="Arial"/>
          <w:color w:val="000000"/>
          <w:szCs w:val="24"/>
        </w:rPr>
      </w:pPr>
      <w:r w:rsidRPr="005C7E9B">
        <w:rPr>
          <w:rFonts w:cs="Arial"/>
          <w:b/>
          <w:color w:val="FF0000"/>
          <w:szCs w:val="24"/>
        </w:rPr>
        <w:t>Oui</w:t>
      </w:r>
      <w:r w:rsidRPr="007F71E8">
        <w:rPr>
          <w:rFonts w:cs="Arial"/>
          <w:color w:val="FF0000"/>
          <w:szCs w:val="24"/>
        </w:rPr>
        <w:t xml:space="preserve">, </w:t>
      </w:r>
      <w:r w:rsidRPr="00AB15BC">
        <w:rPr>
          <w:rFonts w:cs="Arial"/>
          <w:color w:val="000000"/>
          <w:szCs w:val="24"/>
        </w:rPr>
        <w:t>ces charges font bien partie du chapitre 012 du compte administratif cité en référence pour le calcul de cet indicateur.</w:t>
      </w:r>
    </w:p>
    <w:p w14:paraId="119F649F" w14:textId="77777777" w:rsidR="009300E9" w:rsidRPr="005C7E9B" w:rsidRDefault="009300E9" w:rsidP="009300E9">
      <w:pPr>
        <w:jc w:val="both"/>
        <w:rPr>
          <w:rFonts w:cs="Arial"/>
          <w:color w:val="000000"/>
          <w:szCs w:val="24"/>
        </w:rPr>
      </w:pPr>
      <w:r w:rsidRPr="005C7E9B">
        <w:rPr>
          <w:rFonts w:cs="Arial"/>
          <w:color w:val="000000"/>
          <w:szCs w:val="24"/>
        </w:rPr>
        <w:t>Les charges de personnel sont à incorporer dans les dépenses de fonctionnement sur la ligne 3.4.7.1, le poids de la masse salariale ne peut donc pas être supérieur à 100%.</w:t>
      </w:r>
    </w:p>
    <w:p w14:paraId="2AE3D103" w14:textId="77777777" w:rsidR="009300E9" w:rsidRDefault="009300E9" w:rsidP="009300E9">
      <w:pPr>
        <w:jc w:val="both"/>
        <w:rPr>
          <w:rFonts w:cs="Arial"/>
          <w:color w:val="000000"/>
          <w:szCs w:val="24"/>
        </w:rPr>
      </w:pPr>
    </w:p>
    <w:p w14:paraId="00D6267D" w14:textId="77777777" w:rsidR="009300E9" w:rsidRDefault="009300E9" w:rsidP="009300E9">
      <w:pPr>
        <w:jc w:val="both"/>
        <w:rPr>
          <w:rFonts w:cs="Arial"/>
          <w:b/>
          <w:color w:val="00B0F0"/>
          <w:szCs w:val="24"/>
        </w:rPr>
      </w:pPr>
      <w:r w:rsidRPr="00337722">
        <w:rPr>
          <w:rFonts w:cs="Arial"/>
          <w:b/>
          <w:color w:val="00B0F0"/>
          <w:szCs w:val="24"/>
        </w:rPr>
        <w:t xml:space="preserve">Que comptabiliser dans les dépenses de personnel ? </w:t>
      </w:r>
    </w:p>
    <w:p w14:paraId="328F42B2" w14:textId="77777777" w:rsidR="009300E9" w:rsidRPr="00AB15BC" w:rsidRDefault="009300E9" w:rsidP="009300E9">
      <w:pPr>
        <w:jc w:val="both"/>
        <w:rPr>
          <w:color w:val="000000"/>
          <w:szCs w:val="24"/>
          <w:u w:val="single"/>
        </w:rPr>
      </w:pPr>
      <w:r w:rsidRPr="00CE345E">
        <w:rPr>
          <w:rFonts w:cs="Arial"/>
          <w:b/>
          <w:i/>
          <w:color w:val="FF0000"/>
          <w:szCs w:val="24"/>
        </w:rPr>
        <w:t>Indicateur 3.4.</w:t>
      </w:r>
      <w:r>
        <w:rPr>
          <w:rFonts w:cs="Arial"/>
          <w:b/>
          <w:i/>
          <w:color w:val="FF0000"/>
          <w:szCs w:val="24"/>
        </w:rPr>
        <w:t>7</w:t>
      </w:r>
      <w:r w:rsidRPr="00CE345E">
        <w:rPr>
          <w:rFonts w:cs="Arial"/>
          <w:i/>
          <w:color w:val="E36C0A" w:themeColor="accent6" w:themeShade="BF"/>
          <w:szCs w:val="24"/>
        </w:rPr>
        <w:t> </w:t>
      </w:r>
      <w:r>
        <w:rPr>
          <w:rFonts w:cs="Arial"/>
          <w:i/>
          <w:color w:val="E36C0A" w:themeColor="accent6" w:themeShade="BF"/>
          <w:szCs w:val="24"/>
        </w:rPr>
        <w:t>– « </w:t>
      </w:r>
      <w:r w:rsidRPr="00AA79B6">
        <w:rPr>
          <w:rFonts w:cs="Arial"/>
          <w:i/>
          <w:color w:val="E36C0A" w:themeColor="accent6" w:themeShade="BF"/>
          <w:szCs w:val="24"/>
        </w:rPr>
        <w:t>Dépenses de fonctionnement et dépenses de personnel</w:t>
      </w:r>
      <w:r>
        <w:rPr>
          <w:rFonts w:cs="Arial"/>
          <w:i/>
          <w:color w:val="E36C0A" w:themeColor="accent6" w:themeShade="BF"/>
          <w:szCs w:val="24"/>
        </w:rPr>
        <w:t> »</w:t>
      </w:r>
    </w:p>
    <w:p w14:paraId="3CFE681E" w14:textId="77777777" w:rsidR="009300E9" w:rsidRPr="00712896" w:rsidRDefault="009300E9" w:rsidP="009300E9">
      <w:pPr>
        <w:jc w:val="both"/>
        <w:rPr>
          <w:rFonts w:cs="Arial"/>
          <w:color w:val="FF0000"/>
          <w:szCs w:val="24"/>
        </w:rPr>
      </w:pPr>
      <w:r w:rsidRPr="00442A0B">
        <w:rPr>
          <w:rFonts w:cs="Arial"/>
          <w:color w:val="000000"/>
          <w:szCs w:val="24"/>
        </w:rPr>
        <w:t>Les charges de personnel correspondent aux salaires (traitement et primes) augmentés des charges salariales et patronales dont le montant est indiqué</w:t>
      </w:r>
      <w:r>
        <w:rPr>
          <w:rFonts w:cs="Arial"/>
          <w:color w:val="000000"/>
          <w:szCs w:val="24"/>
        </w:rPr>
        <w:t xml:space="preserve"> au chapitre 012 du compte administratif </w:t>
      </w:r>
      <w:r w:rsidRPr="005C7E9B">
        <w:rPr>
          <w:rFonts w:cs="Arial"/>
          <w:color w:val="000000"/>
          <w:szCs w:val="24"/>
        </w:rPr>
        <w:t>et du total du Compte 64 – Charges de personnel.</w:t>
      </w:r>
    </w:p>
    <w:p w14:paraId="06ED0C23" w14:textId="77777777" w:rsidR="009300E9" w:rsidRDefault="009300E9" w:rsidP="009300E9">
      <w:pPr>
        <w:jc w:val="both"/>
        <w:rPr>
          <w:color w:val="000000"/>
          <w:szCs w:val="24"/>
        </w:rPr>
      </w:pPr>
    </w:p>
    <w:p w14:paraId="4EF747E5" w14:textId="77777777" w:rsidR="009300E9" w:rsidRDefault="009300E9" w:rsidP="009300E9">
      <w:pPr>
        <w:jc w:val="both"/>
        <w:rPr>
          <w:rFonts w:cs="Arial"/>
          <w:b/>
          <w:color w:val="00B0F0"/>
          <w:szCs w:val="24"/>
        </w:rPr>
      </w:pPr>
      <w:r w:rsidRPr="00337722">
        <w:rPr>
          <w:rFonts w:cs="Arial"/>
          <w:b/>
          <w:color w:val="00B0F0"/>
          <w:szCs w:val="24"/>
        </w:rPr>
        <w:t>Que comptabiliser dans les dépenses de</w:t>
      </w:r>
      <w:r>
        <w:rPr>
          <w:rFonts w:cs="Arial"/>
          <w:b/>
          <w:color w:val="00B0F0"/>
          <w:szCs w:val="24"/>
        </w:rPr>
        <w:t xml:space="preserve"> fonctionnement</w:t>
      </w:r>
      <w:r w:rsidRPr="00337722">
        <w:rPr>
          <w:rFonts w:cs="Arial"/>
          <w:b/>
          <w:color w:val="00B0F0"/>
          <w:szCs w:val="24"/>
        </w:rPr>
        <w:t xml:space="preserve"> ? </w:t>
      </w:r>
    </w:p>
    <w:p w14:paraId="7F8E0A55" w14:textId="77777777" w:rsidR="009300E9" w:rsidRPr="00AB15BC" w:rsidRDefault="009300E9" w:rsidP="009300E9">
      <w:pPr>
        <w:jc w:val="both"/>
        <w:rPr>
          <w:color w:val="000000"/>
          <w:szCs w:val="24"/>
          <w:u w:val="single"/>
        </w:rPr>
      </w:pPr>
      <w:r w:rsidRPr="00CE345E">
        <w:rPr>
          <w:rFonts w:cs="Arial"/>
          <w:b/>
          <w:i/>
          <w:color w:val="FF0000"/>
          <w:szCs w:val="24"/>
        </w:rPr>
        <w:t>Indicateur 3.4.</w:t>
      </w:r>
      <w:r>
        <w:rPr>
          <w:rFonts w:cs="Arial"/>
          <w:b/>
          <w:i/>
          <w:color w:val="FF0000"/>
          <w:szCs w:val="24"/>
        </w:rPr>
        <w:t>7</w:t>
      </w:r>
      <w:r w:rsidRPr="00CE345E">
        <w:rPr>
          <w:rFonts w:cs="Arial"/>
          <w:i/>
          <w:color w:val="E36C0A" w:themeColor="accent6" w:themeShade="BF"/>
          <w:szCs w:val="24"/>
        </w:rPr>
        <w:t> </w:t>
      </w:r>
      <w:r>
        <w:rPr>
          <w:rFonts w:cs="Arial"/>
          <w:i/>
          <w:color w:val="E36C0A" w:themeColor="accent6" w:themeShade="BF"/>
          <w:szCs w:val="24"/>
        </w:rPr>
        <w:t>– « </w:t>
      </w:r>
      <w:r w:rsidRPr="00AA79B6">
        <w:rPr>
          <w:rFonts w:cs="Arial"/>
          <w:i/>
          <w:color w:val="E36C0A" w:themeColor="accent6" w:themeShade="BF"/>
          <w:szCs w:val="24"/>
        </w:rPr>
        <w:t>Dépenses de fonctionnement et dépenses de personnel</w:t>
      </w:r>
      <w:r>
        <w:rPr>
          <w:rFonts w:cs="Arial"/>
          <w:i/>
          <w:color w:val="E36C0A" w:themeColor="accent6" w:themeShade="BF"/>
          <w:szCs w:val="24"/>
        </w:rPr>
        <w:t> »</w:t>
      </w:r>
    </w:p>
    <w:p w14:paraId="072F5F89" w14:textId="77777777" w:rsidR="009300E9" w:rsidRPr="00712896" w:rsidRDefault="009300E9" w:rsidP="009300E9">
      <w:pPr>
        <w:jc w:val="both"/>
        <w:rPr>
          <w:color w:val="000000"/>
          <w:szCs w:val="24"/>
        </w:rPr>
      </w:pPr>
      <w:r w:rsidRPr="00712896">
        <w:rPr>
          <w:color w:val="000000"/>
          <w:szCs w:val="24"/>
        </w:rPr>
        <w:t>La section de fonctionnement regroupe toutes les dépenses nécessaires au fonctionnement des services de la collectivité territoriale, c’est-à-dire les dépenses qui reviennent régulièrement chaque année. Il s’agit principalement des postes suivants :</w:t>
      </w:r>
    </w:p>
    <w:p w14:paraId="3F70B99A" w14:textId="77777777" w:rsidR="009300E9" w:rsidRPr="00712896" w:rsidRDefault="009300E9" w:rsidP="009300E9">
      <w:pPr>
        <w:jc w:val="both"/>
        <w:rPr>
          <w:color w:val="000000"/>
          <w:szCs w:val="24"/>
        </w:rPr>
      </w:pPr>
      <w:r>
        <w:rPr>
          <w:color w:val="000000"/>
          <w:szCs w:val="24"/>
        </w:rPr>
        <w:t xml:space="preserve">- </w:t>
      </w:r>
      <w:r w:rsidRPr="00712896">
        <w:rPr>
          <w:color w:val="000000"/>
          <w:szCs w:val="24"/>
        </w:rPr>
        <w:t>Charges de personnel</w:t>
      </w:r>
    </w:p>
    <w:p w14:paraId="628D1093" w14:textId="77777777" w:rsidR="009300E9" w:rsidRDefault="009300E9" w:rsidP="009300E9">
      <w:pPr>
        <w:jc w:val="both"/>
        <w:rPr>
          <w:color w:val="000000"/>
          <w:szCs w:val="24"/>
        </w:rPr>
      </w:pPr>
      <w:r>
        <w:rPr>
          <w:color w:val="000000"/>
          <w:szCs w:val="24"/>
        </w:rPr>
        <w:t xml:space="preserve">- </w:t>
      </w:r>
      <w:r w:rsidRPr="00712896">
        <w:rPr>
          <w:color w:val="000000"/>
          <w:szCs w:val="24"/>
        </w:rPr>
        <w:t>Achats de fournitures : Papeterie, mobilier…</w:t>
      </w:r>
      <w:r>
        <w:rPr>
          <w:color w:val="000000"/>
          <w:szCs w:val="24"/>
        </w:rPr>
        <w:t xml:space="preserve"> </w:t>
      </w:r>
    </w:p>
    <w:p w14:paraId="58C1CA1E" w14:textId="77777777" w:rsidR="009300E9" w:rsidRPr="00712896" w:rsidRDefault="009300E9" w:rsidP="009300E9">
      <w:pPr>
        <w:jc w:val="both"/>
        <w:rPr>
          <w:color w:val="000000"/>
          <w:szCs w:val="24"/>
        </w:rPr>
      </w:pPr>
      <w:r>
        <w:rPr>
          <w:color w:val="000000"/>
          <w:szCs w:val="24"/>
        </w:rPr>
        <w:t xml:space="preserve">- </w:t>
      </w:r>
      <w:r w:rsidRPr="00712896">
        <w:rPr>
          <w:color w:val="000000"/>
          <w:szCs w:val="24"/>
        </w:rPr>
        <w:t>Autres charges de gestion courante : Électricité, téléphone, indemnités aux élus…</w:t>
      </w:r>
      <w:r>
        <w:rPr>
          <w:color w:val="000000"/>
          <w:szCs w:val="24"/>
        </w:rPr>
        <w:t xml:space="preserve"> </w:t>
      </w:r>
    </w:p>
    <w:p w14:paraId="1D73BE43" w14:textId="77777777" w:rsidR="009300E9" w:rsidRPr="00712896" w:rsidRDefault="009300E9" w:rsidP="009300E9">
      <w:pPr>
        <w:jc w:val="both"/>
        <w:rPr>
          <w:color w:val="000000"/>
          <w:szCs w:val="24"/>
        </w:rPr>
      </w:pPr>
      <w:r>
        <w:rPr>
          <w:color w:val="000000"/>
          <w:szCs w:val="24"/>
        </w:rPr>
        <w:t xml:space="preserve">- </w:t>
      </w:r>
      <w:r w:rsidRPr="00712896">
        <w:rPr>
          <w:color w:val="000000"/>
          <w:szCs w:val="24"/>
        </w:rPr>
        <w:t>Prestations de services : Charges de publicité, de publication, missions et réceptions, transport de biens et de personnes…</w:t>
      </w:r>
    </w:p>
    <w:p w14:paraId="7C56D040" w14:textId="77777777" w:rsidR="009300E9" w:rsidRPr="00712896" w:rsidRDefault="009300E9" w:rsidP="009300E9">
      <w:pPr>
        <w:jc w:val="both"/>
        <w:rPr>
          <w:color w:val="000000"/>
          <w:szCs w:val="24"/>
        </w:rPr>
      </w:pPr>
      <w:r>
        <w:rPr>
          <w:color w:val="000000"/>
          <w:szCs w:val="24"/>
        </w:rPr>
        <w:t xml:space="preserve">- </w:t>
      </w:r>
      <w:r w:rsidRPr="00712896">
        <w:rPr>
          <w:color w:val="000000"/>
          <w:szCs w:val="24"/>
        </w:rPr>
        <w:t>Participations aux charges d’organismes extérieurs : Aide sociale, syndicats intercommunaux…</w:t>
      </w:r>
    </w:p>
    <w:p w14:paraId="29802522" w14:textId="77777777" w:rsidR="009300E9" w:rsidRPr="00712896" w:rsidRDefault="009300E9" w:rsidP="009300E9">
      <w:pPr>
        <w:jc w:val="both"/>
        <w:rPr>
          <w:color w:val="000000"/>
          <w:szCs w:val="24"/>
        </w:rPr>
      </w:pPr>
      <w:r>
        <w:rPr>
          <w:color w:val="000000"/>
          <w:szCs w:val="24"/>
        </w:rPr>
        <w:t xml:space="preserve">- </w:t>
      </w:r>
      <w:r w:rsidRPr="00712896">
        <w:rPr>
          <w:color w:val="000000"/>
          <w:szCs w:val="24"/>
        </w:rPr>
        <w:t>Charges financières : Intérêts des emprunts, frais financiers et perte de change…</w:t>
      </w:r>
    </w:p>
    <w:p w14:paraId="341D42D3" w14:textId="77777777" w:rsidR="009300E9" w:rsidRPr="00712896" w:rsidRDefault="009300E9" w:rsidP="009300E9">
      <w:pPr>
        <w:jc w:val="both"/>
        <w:rPr>
          <w:color w:val="000000"/>
          <w:szCs w:val="24"/>
        </w:rPr>
      </w:pPr>
      <w:r>
        <w:rPr>
          <w:color w:val="000000"/>
          <w:szCs w:val="24"/>
        </w:rPr>
        <w:t xml:space="preserve">- </w:t>
      </w:r>
      <w:r w:rsidRPr="00712896">
        <w:rPr>
          <w:color w:val="000000"/>
          <w:szCs w:val="24"/>
        </w:rPr>
        <w:t>Dotations aux amortissements et aux provisions :</w:t>
      </w:r>
    </w:p>
    <w:p w14:paraId="61995857" w14:textId="77777777" w:rsidR="009300E9" w:rsidRPr="00712896" w:rsidRDefault="009300E9" w:rsidP="009300E9">
      <w:pPr>
        <w:jc w:val="both"/>
        <w:rPr>
          <w:color w:val="000000"/>
          <w:szCs w:val="24"/>
        </w:rPr>
      </w:pPr>
      <w:r>
        <w:rPr>
          <w:color w:val="000000"/>
          <w:szCs w:val="24"/>
        </w:rPr>
        <w:t xml:space="preserve">- </w:t>
      </w:r>
      <w:r w:rsidRPr="00712896">
        <w:rPr>
          <w:color w:val="000000"/>
          <w:szCs w:val="24"/>
        </w:rPr>
        <w:t>Indemnités des élus</w:t>
      </w:r>
    </w:p>
    <w:p w14:paraId="52DEEA94" w14:textId="77777777" w:rsidR="009300E9" w:rsidRPr="00712896" w:rsidRDefault="009300E9" w:rsidP="009300E9">
      <w:pPr>
        <w:jc w:val="both"/>
        <w:rPr>
          <w:color w:val="000000"/>
          <w:szCs w:val="24"/>
        </w:rPr>
      </w:pPr>
    </w:p>
    <w:p w14:paraId="4CDA1BF6" w14:textId="77777777" w:rsidR="009300E9" w:rsidRDefault="009300E9" w:rsidP="009300E9">
      <w:pPr>
        <w:jc w:val="both"/>
        <w:rPr>
          <w:color w:val="000000"/>
          <w:szCs w:val="24"/>
        </w:rPr>
      </w:pPr>
      <w:r w:rsidRPr="00712896">
        <w:rPr>
          <w:color w:val="000000"/>
          <w:szCs w:val="24"/>
        </w:rPr>
        <w:t>Certaines dépenses de fonctionnement peuvent aussi être exceptionnelles : intérêts moratoires, amendes fiscales, subventions aux SPIC notamment.</w:t>
      </w:r>
    </w:p>
    <w:p w14:paraId="666F914B" w14:textId="77777777" w:rsidR="009300E9" w:rsidRDefault="009300E9" w:rsidP="009300E9">
      <w:pPr>
        <w:jc w:val="both"/>
        <w:rPr>
          <w:color w:val="000000"/>
          <w:szCs w:val="24"/>
        </w:rPr>
      </w:pPr>
    </w:p>
    <w:p w14:paraId="6125DDC9" w14:textId="77777777" w:rsidR="009300E9" w:rsidRDefault="009300E9" w:rsidP="009300E9">
      <w:pPr>
        <w:jc w:val="both"/>
        <w:rPr>
          <w:color w:val="000000"/>
          <w:szCs w:val="24"/>
        </w:rPr>
      </w:pPr>
      <w:r>
        <w:rPr>
          <w:color w:val="000000"/>
          <w:szCs w:val="24"/>
        </w:rPr>
        <w:t xml:space="preserve">Les données 2020 sont consultables via ce lien : </w:t>
      </w:r>
      <w:hyperlink r:id="rId15" w:history="1">
        <w:r w:rsidRPr="003B24A6">
          <w:rPr>
            <w:rStyle w:val="Lienhypertexte"/>
            <w:szCs w:val="24"/>
          </w:rPr>
          <w:t>https://data.ofgl.fr/pages/accueil/</w:t>
        </w:r>
      </w:hyperlink>
    </w:p>
    <w:p w14:paraId="50F7F55B" w14:textId="77777777" w:rsidR="00BD228F" w:rsidRDefault="00BD228F" w:rsidP="00BD228F"/>
    <w:p w14:paraId="118387E3" w14:textId="5973D2AB" w:rsidR="000D4174" w:rsidRDefault="000D4174" w:rsidP="00BD228F">
      <w:pPr>
        <w:jc w:val="center"/>
      </w:pPr>
    </w:p>
    <w:p w14:paraId="4B65D68B" w14:textId="5ADEAE10" w:rsidR="00907201" w:rsidRDefault="00907201" w:rsidP="00BD228F">
      <w:pPr>
        <w:jc w:val="center"/>
      </w:pPr>
    </w:p>
    <w:p w14:paraId="2BC883E4" w14:textId="467880C5" w:rsidR="0098425E" w:rsidRDefault="0098425E" w:rsidP="00BD228F">
      <w:pPr>
        <w:jc w:val="center"/>
      </w:pPr>
    </w:p>
    <w:p w14:paraId="17F0CF39" w14:textId="0C4A8664" w:rsidR="0098425E" w:rsidRDefault="0098425E" w:rsidP="00BD228F">
      <w:pPr>
        <w:jc w:val="center"/>
      </w:pPr>
    </w:p>
    <w:p w14:paraId="22126526" w14:textId="36BF2CD6" w:rsidR="0098425E" w:rsidRDefault="0098425E" w:rsidP="00BD228F">
      <w:pPr>
        <w:jc w:val="center"/>
      </w:pPr>
    </w:p>
    <w:p w14:paraId="5F27D2E6" w14:textId="15D2B47F" w:rsidR="0098425E" w:rsidRDefault="0098425E" w:rsidP="00BD228F">
      <w:pPr>
        <w:jc w:val="center"/>
      </w:pPr>
    </w:p>
    <w:p w14:paraId="4F63380A" w14:textId="2C69B18C" w:rsidR="0098425E" w:rsidRDefault="0098425E" w:rsidP="00BD228F">
      <w:pPr>
        <w:jc w:val="center"/>
      </w:pPr>
    </w:p>
    <w:p w14:paraId="6DCD207F" w14:textId="7164A3C4" w:rsidR="0098425E" w:rsidRDefault="0098425E" w:rsidP="00BD228F">
      <w:pPr>
        <w:jc w:val="center"/>
      </w:pPr>
    </w:p>
    <w:p w14:paraId="5DF97F36" w14:textId="77777777" w:rsidR="000A727B" w:rsidRDefault="000A727B" w:rsidP="000A727B">
      <w:pPr>
        <w:pStyle w:val="Titre1"/>
      </w:pPr>
      <w:bookmarkStart w:id="14" w:name="_Toc76029648"/>
      <w:bookmarkStart w:id="15" w:name="_Toc104276128"/>
      <w:r>
        <w:lastRenderedPageBreak/>
        <w:t xml:space="preserve">Santé et </w:t>
      </w:r>
      <w:bookmarkEnd w:id="14"/>
      <w:r>
        <w:t>sécurité au travail</w:t>
      </w:r>
      <w:bookmarkEnd w:id="15"/>
    </w:p>
    <w:p w14:paraId="479218E0" w14:textId="1C517A78" w:rsidR="000A727B" w:rsidRDefault="000A727B" w:rsidP="000A727B"/>
    <w:p w14:paraId="1ED8F535" w14:textId="77777777" w:rsidR="00E5593B" w:rsidRDefault="00E5593B" w:rsidP="00E5593B">
      <w:pPr>
        <w:jc w:val="both"/>
        <w:rPr>
          <w:rFonts w:cs="Arial"/>
          <w:b/>
          <w:color w:val="00B0F0"/>
          <w:szCs w:val="24"/>
        </w:rPr>
      </w:pPr>
      <w:r w:rsidRPr="00337722">
        <w:rPr>
          <w:rFonts w:cs="Arial"/>
          <w:b/>
          <w:color w:val="00B0F0"/>
          <w:szCs w:val="24"/>
        </w:rPr>
        <w:t>A la ligne « autres agents affectés à la prévention », puis-je mettre les membres du comité d’hygiène, de sécurité et des conditions de travail, les sa</w:t>
      </w:r>
      <w:r>
        <w:rPr>
          <w:rFonts w:cs="Arial"/>
          <w:b/>
          <w:color w:val="00B0F0"/>
          <w:szCs w:val="24"/>
        </w:rPr>
        <w:t xml:space="preserve">uveteurs secouristes du travail </w:t>
      </w:r>
      <w:r w:rsidRPr="00337722">
        <w:rPr>
          <w:rFonts w:cs="Arial"/>
          <w:b/>
          <w:color w:val="00B0F0"/>
          <w:szCs w:val="24"/>
        </w:rPr>
        <w:t xml:space="preserve">et les agents formés à la « Prévention des risques liée à l’activité physique (PRAP) </w:t>
      </w:r>
      <w:proofErr w:type="gramStart"/>
      <w:r w:rsidRPr="00337722">
        <w:rPr>
          <w:rFonts w:cs="Arial"/>
          <w:b/>
          <w:color w:val="00B0F0"/>
          <w:szCs w:val="24"/>
        </w:rPr>
        <w:t>ex gestes</w:t>
      </w:r>
      <w:proofErr w:type="gramEnd"/>
      <w:r w:rsidRPr="00337722">
        <w:rPr>
          <w:rFonts w:cs="Arial"/>
          <w:b/>
          <w:color w:val="00B0F0"/>
          <w:szCs w:val="24"/>
        </w:rPr>
        <w:t xml:space="preserve"> et postures » ?</w:t>
      </w:r>
    </w:p>
    <w:p w14:paraId="0443A390" w14:textId="77777777" w:rsidR="00E5593B" w:rsidRPr="00F506CE" w:rsidRDefault="00E5593B" w:rsidP="00E5593B">
      <w:pPr>
        <w:jc w:val="both"/>
        <w:rPr>
          <w:rFonts w:cs="Arial"/>
          <w:i/>
          <w:color w:val="E36C0A" w:themeColor="accent6" w:themeShade="BF"/>
          <w:szCs w:val="24"/>
        </w:rPr>
      </w:pPr>
      <w:r w:rsidRPr="00F506CE">
        <w:rPr>
          <w:rFonts w:cs="Arial"/>
          <w:i/>
          <w:color w:val="E36C0A" w:themeColor="accent6" w:themeShade="BF"/>
          <w:szCs w:val="24"/>
        </w:rPr>
        <w:t>Indicateur 4.1.1 – « Agents affectés à la prévention »</w:t>
      </w:r>
    </w:p>
    <w:p w14:paraId="31E66C5B" w14:textId="77777777" w:rsidR="00E5593B" w:rsidRPr="003C2FCA" w:rsidRDefault="00E5593B" w:rsidP="00E5593B">
      <w:pPr>
        <w:jc w:val="both"/>
        <w:rPr>
          <w:szCs w:val="24"/>
        </w:rPr>
      </w:pPr>
      <w:r>
        <w:rPr>
          <w:szCs w:val="24"/>
        </w:rPr>
        <w:t>I</w:t>
      </w:r>
      <w:r w:rsidRPr="003C2FCA">
        <w:rPr>
          <w:szCs w:val="24"/>
        </w:rPr>
        <w:t xml:space="preserve">l s’agit d’un indicateur large qui a pour but de renseigner toutes les personnes qui interviennent dans la collectivité sur les problématiques liées à l’hygiène, la sécurité et la santé au travail. </w:t>
      </w:r>
    </w:p>
    <w:p w14:paraId="6FD7BCDE" w14:textId="0612927C" w:rsidR="00E5593B" w:rsidRPr="003C2FCA" w:rsidRDefault="00E5593B" w:rsidP="00E5593B">
      <w:pPr>
        <w:jc w:val="both"/>
        <w:rPr>
          <w:szCs w:val="24"/>
        </w:rPr>
      </w:pPr>
      <w:r>
        <w:rPr>
          <w:szCs w:val="24"/>
        </w:rPr>
        <w:t>En revanche</w:t>
      </w:r>
      <w:r w:rsidRPr="003C2FCA">
        <w:rPr>
          <w:szCs w:val="24"/>
        </w:rPr>
        <w:t xml:space="preserve">, </w:t>
      </w:r>
      <w:r w:rsidRPr="00145914">
        <w:rPr>
          <w:rFonts w:cs="Arial"/>
          <w:b/>
          <w:szCs w:val="24"/>
        </w:rPr>
        <w:t>non</w:t>
      </w:r>
      <w:r>
        <w:rPr>
          <w:szCs w:val="24"/>
        </w:rPr>
        <w:t xml:space="preserve">, </w:t>
      </w:r>
      <w:r w:rsidRPr="003C2FCA">
        <w:rPr>
          <w:rFonts w:cs="Arial"/>
          <w:szCs w:val="24"/>
        </w:rPr>
        <w:t>les agents formés « PRAP</w:t>
      </w:r>
      <w:r w:rsidR="00292246">
        <w:rPr>
          <w:rFonts w:cs="Arial"/>
          <w:szCs w:val="24"/>
        </w:rPr>
        <w:t xml:space="preserve"> </w:t>
      </w:r>
      <w:r w:rsidRPr="003C2FCA">
        <w:rPr>
          <w:rFonts w:cs="Arial"/>
          <w:szCs w:val="24"/>
        </w:rPr>
        <w:t>» ne doivent pas y être comptabilisés.</w:t>
      </w:r>
    </w:p>
    <w:p w14:paraId="42757A5F" w14:textId="77777777" w:rsidR="00E5593B" w:rsidRPr="003C2FCA" w:rsidRDefault="00E5593B" w:rsidP="00E5593B">
      <w:pPr>
        <w:jc w:val="both"/>
        <w:rPr>
          <w:szCs w:val="24"/>
        </w:rPr>
      </w:pPr>
    </w:p>
    <w:p w14:paraId="2FE473BE" w14:textId="77777777" w:rsidR="00E5593B" w:rsidRDefault="00E5593B" w:rsidP="00E5593B">
      <w:pPr>
        <w:jc w:val="both"/>
        <w:rPr>
          <w:rFonts w:cs="Arial"/>
          <w:b/>
          <w:color w:val="00B0F0"/>
          <w:szCs w:val="24"/>
        </w:rPr>
      </w:pPr>
      <w:r>
        <w:rPr>
          <w:rFonts w:cs="Arial"/>
          <w:b/>
          <w:color w:val="00B0F0"/>
          <w:szCs w:val="24"/>
        </w:rPr>
        <w:t>Un conseiller en prévention du centre de g</w:t>
      </w:r>
      <w:r w:rsidRPr="00337722">
        <w:rPr>
          <w:rFonts w:cs="Arial"/>
          <w:b/>
          <w:color w:val="00B0F0"/>
          <w:szCs w:val="24"/>
        </w:rPr>
        <w:t>estion est intervenu plusieurs fois dans la collectivité. Puis-je le comptabiliser et si oui, comment ?</w:t>
      </w:r>
    </w:p>
    <w:p w14:paraId="6A3902B5" w14:textId="77777777" w:rsidR="00E5593B" w:rsidRPr="00F506CE" w:rsidRDefault="00E5593B" w:rsidP="00E5593B">
      <w:pPr>
        <w:jc w:val="both"/>
        <w:rPr>
          <w:rFonts w:cs="Arial"/>
          <w:i/>
          <w:color w:val="E36C0A" w:themeColor="accent6" w:themeShade="BF"/>
          <w:szCs w:val="24"/>
        </w:rPr>
      </w:pPr>
      <w:r w:rsidRPr="00F506CE">
        <w:rPr>
          <w:rFonts w:cs="Arial"/>
          <w:i/>
          <w:color w:val="E36C0A" w:themeColor="accent6" w:themeShade="BF"/>
          <w:szCs w:val="24"/>
        </w:rPr>
        <w:t>Indicateur 4.1.1 – « Agents affectés à la prévention »</w:t>
      </w:r>
    </w:p>
    <w:p w14:paraId="2829CCEC" w14:textId="77777777" w:rsidR="00E5593B" w:rsidRDefault="00E5593B" w:rsidP="00E5593B">
      <w:pPr>
        <w:jc w:val="both"/>
        <w:rPr>
          <w:szCs w:val="24"/>
        </w:rPr>
      </w:pPr>
      <w:r w:rsidRPr="003C2FCA">
        <w:rPr>
          <w:szCs w:val="24"/>
        </w:rPr>
        <w:t>Il faut comptabiliser toutes les personnes intervenues en matière de prévention qu’ils soient agents de la collectivité ou non (animateurs, formateurs</w:t>
      </w:r>
      <w:r>
        <w:rPr>
          <w:szCs w:val="24"/>
        </w:rPr>
        <w:t>, conseillers en prévention du centre de g</w:t>
      </w:r>
      <w:r w:rsidRPr="003C2FCA">
        <w:rPr>
          <w:szCs w:val="24"/>
        </w:rPr>
        <w:t>estion</w:t>
      </w:r>
      <w:r>
        <w:rPr>
          <w:szCs w:val="24"/>
        </w:rPr>
        <w:t>, etc.).</w:t>
      </w:r>
    </w:p>
    <w:p w14:paraId="66A7342D" w14:textId="77777777" w:rsidR="00E5593B" w:rsidRPr="003C2FCA" w:rsidRDefault="00E5593B" w:rsidP="00E5593B">
      <w:pPr>
        <w:jc w:val="both"/>
        <w:rPr>
          <w:szCs w:val="24"/>
        </w:rPr>
      </w:pPr>
      <w:proofErr w:type="gramStart"/>
      <w:r w:rsidRPr="003C2FCA">
        <w:rPr>
          <w:szCs w:val="24"/>
        </w:rPr>
        <w:t>Par contre</w:t>
      </w:r>
      <w:proofErr w:type="gramEnd"/>
      <w:r w:rsidRPr="003C2FCA">
        <w:rPr>
          <w:szCs w:val="24"/>
        </w:rPr>
        <w:t>, il ne faut pas comptabiliser le nombre d’interventions mais le no</w:t>
      </w:r>
      <w:r>
        <w:rPr>
          <w:szCs w:val="24"/>
        </w:rPr>
        <w:t>mbre d’intervenants « physique ». Par exemple, si deux agents du Centre de Gestion ont réalisé deux interventions chacun, indiquer « 2 ».</w:t>
      </w:r>
    </w:p>
    <w:p w14:paraId="37899643" w14:textId="77777777" w:rsidR="00E5593B" w:rsidRPr="003C2FCA" w:rsidRDefault="00E5593B" w:rsidP="00E5593B">
      <w:pPr>
        <w:jc w:val="both"/>
        <w:rPr>
          <w:szCs w:val="24"/>
          <w:u w:val="single"/>
        </w:rPr>
      </w:pPr>
    </w:p>
    <w:p w14:paraId="3456621B" w14:textId="77777777" w:rsidR="00E5593B" w:rsidRDefault="00E5593B" w:rsidP="00E5593B">
      <w:pPr>
        <w:jc w:val="both"/>
        <w:rPr>
          <w:rFonts w:cs="Arial"/>
          <w:b/>
          <w:color w:val="00B0F0"/>
          <w:szCs w:val="24"/>
        </w:rPr>
      </w:pPr>
      <w:r w:rsidRPr="00337722">
        <w:rPr>
          <w:rFonts w:cs="Arial"/>
          <w:b/>
          <w:color w:val="00B0F0"/>
          <w:szCs w:val="24"/>
        </w:rPr>
        <w:t>Quelles sont les dépenses pouvant être prises en compte en matière de prévention ?</w:t>
      </w:r>
    </w:p>
    <w:p w14:paraId="70FE7082" w14:textId="77777777" w:rsidR="00E5593B" w:rsidRPr="00B962E9" w:rsidRDefault="00E5593B" w:rsidP="00E5593B">
      <w:pPr>
        <w:spacing w:after="120"/>
        <w:jc w:val="both"/>
        <w:rPr>
          <w:rFonts w:cs="Arial"/>
          <w:i/>
          <w:color w:val="E36C0A" w:themeColor="accent6" w:themeShade="BF"/>
          <w:szCs w:val="24"/>
        </w:rPr>
      </w:pPr>
      <w:r>
        <w:rPr>
          <w:rFonts w:cs="Arial"/>
          <w:i/>
          <w:color w:val="E36C0A" w:themeColor="accent6" w:themeShade="BF"/>
          <w:szCs w:val="24"/>
        </w:rPr>
        <w:t xml:space="preserve"> </w:t>
      </w:r>
      <w:r w:rsidRPr="00B962E9">
        <w:rPr>
          <w:rFonts w:cs="Arial"/>
          <w:i/>
          <w:color w:val="E36C0A" w:themeColor="accent6" w:themeShade="BF"/>
          <w:szCs w:val="24"/>
        </w:rPr>
        <w:t>Indicateur 4.1.2 </w:t>
      </w:r>
      <w:r>
        <w:rPr>
          <w:rFonts w:cs="Arial"/>
          <w:i/>
          <w:color w:val="E36C0A" w:themeColor="accent6" w:themeShade="BF"/>
          <w:szCs w:val="24"/>
        </w:rPr>
        <w:t>–</w:t>
      </w:r>
      <w:r w:rsidRPr="00B962E9">
        <w:rPr>
          <w:rFonts w:cs="Arial"/>
          <w:i/>
          <w:color w:val="E36C0A" w:themeColor="accent6" w:themeShade="BF"/>
          <w:szCs w:val="24"/>
        </w:rPr>
        <w:t xml:space="preserve"> </w:t>
      </w:r>
      <w:r>
        <w:rPr>
          <w:rFonts w:cs="Arial"/>
          <w:i/>
          <w:color w:val="E36C0A" w:themeColor="accent6" w:themeShade="BF"/>
          <w:szCs w:val="24"/>
        </w:rPr>
        <w:t>« </w:t>
      </w:r>
      <w:r w:rsidRPr="00B962E9">
        <w:rPr>
          <w:rFonts w:cs="Arial"/>
          <w:i/>
          <w:color w:val="E36C0A" w:themeColor="accent6" w:themeShade="BF"/>
          <w:szCs w:val="24"/>
        </w:rPr>
        <w:t>Actions liées à la prévention</w:t>
      </w:r>
      <w:r>
        <w:rPr>
          <w:rFonts w:cs="Arial"/>
          <w:i/>
          <w:color w:val="E36C0A" w:themeColor="accent6" w:themeShade="BF"/>
          <w:szCs w:val="24"/>
        </w:rPr>
        <w:t> »</w:t>
      </w:r>
    </w:p>
    <w:p w14:paraId="6C2F2F19" w14:textId="77777777" w:rsidR="00E5593B" w:rsidRDefault="00E5593B" w:rsidP="00E5593B">
      <w:pPr>
        <w:pStyle w:val="Paragraphedeliste"/>
        <w:numPr>
          <w:ilvl w:val="0"/>
          <w:numId w:val="4"/>
        </w:numPr>
        <w:ind w:left="283" w:hanging="215"/>
        <w:contextualSpacing w:val="0"/>
        <w:jc w:val="both"/>
        <w:rPr>
          <w:szCs w:val="24"/>
        </w:rPr>
      </w:pPr>
      <w:r w:rsidRPr="00337722">
        <w:rPr>
          <w:szCs w:val="24"/>
        </w:rPr>
        <w:t>Les dépenses relatives aux interventions en matière de prévention et de sécurité :</w:t>
      </w:r>
    </w:p>
    <w:p w14:paraId="692EC64B" w14:textId="77777777" w:rsidR="00E5593B" w:rsidRPr="006E71CC" w:rsidRDefault="00E5593B" w:rsidP="00E5593B">
      <w:pPr>
        <w:pStyle w:val="Paragraphedeliste"/>
        <w:numPr>
          <w:ilvl w:val="0"/>
          <w:numId w:val="4"/>
        </w:numPr>
        <w:contextualSpacing w:val="0"/>
        <w:jc w:val="both"/>
        <w:rPr>
          <w:szCs w:val="24"/>
        </w:rPr>
      </w:pPr>
      <w:proofErr w:type="gramStart"/>
      <w:r w:rsidRPr="006E71CC">
        <w:rPr>
          <w:rFonts w:ascii="Calibri" w:hAnsi="Calibri"/>
        </w:rPr>
        <w:t>masques</w:t>
      </w:r>
      <w:proofErr w:type="gramEnd"/>
      <w:r w:rsidRPr="006E71CC">
        <w:rPr>
          <w:rFonts w:ascii="Calibri" w:hAnsi="Calibri"/>
        </w:rPr>
        <w:t xml:space="preserve"> de protection contre le COVID 19</w:t>
      </w:r>
    </w:p>
    <w:p w14:paraId="427A20F5" w14:textId="77777777" w:rsidR="00E5593B" w:rsidRPr="00337722" w:rsidRDefault="00E5593B" w:rsidP="00E5593B">
      <w:pPr>
        <w:pStyle w:val="Paragraphedeliste"/>
        <w:numPr>
          <w:ilvl w:val="0"/>
          <w:numId w:val="5"/>
        </w:numPr>
        <w:ind w:left="714" w:hanging="357"/>
        <w:contextualSpacing w:val="0"/>
        <w:jc w:val="both"/>
        <w:rPr>
          <w:color w:val="000000"/>
          <w:szCs w:val="24"/>
        </w:rPr>
      </w:pPr>
      <w:proofErr w:type="gramStart"/>
      <w:r w:rsidRPr="00337722">
        <w:rPr>
          <w:color w:val="000000"/>
          <w:szCs w:val="24"/>
        </w:rPr>
        <w:t>travaux</w:t>
      </w:r>
      <w:proofErr w:type="gramEnd"/>
      <w:r w:rsidRPr="00337722">
        <w:rPr>
          <w:color w:val="000000"/>
          <w:szCs w:val="24"/>
        </w:rPr>
        <w:t xml:space="preserve"> recommandés par des agents affectés à la prévention et à la sécurité</w:t>
      </w:r>
    </w:p>
    <w:p w14:paraId="624F3E8E" w14:textId="77777777" w:rsidR="00E5593B" w:rsidRPr="00337722" w:rsidRDefault="00E5593B" w:rsidP="00E5593B">
      <w:pPr>
        <w:pStyle w:val="Paragraphedeliste"/>
        <w:numPr>
          <w:ilvl w:val="0"/>
          <w:numId w:val="5"/>
        </w:numPr>
        <w:ind w:left="714" w:hanging="357"/>
        <w:contextualSpacing w:val="0"/>
        <w:jc w:val="both"/>
        <w:rPr>
          <w:color w:val="000000"/>
          <w:szCs w:val="24"/>
        </w:rPr>
      </w:pPr>
      <w:proofErr w:type="gramStart"/>
      <w:r w:rsidRPr="00337722">
        <w:rPr>
          <w:color w:val="000000"/>
          <w:szCs w:val="24"/>
        </w:rPr>
        <w:t>réfections</w:t>
      </w:r>
      <w:proofErr w:type="gramEnd"/>
      <w:r w:rsidRPr="00337722">
        <w:rPr>
          <w:color w:val="000000"/>
          <w:szCs w:val="24"/>
        </w:rPr>
        <w:t xml:space="preserve"> de locaux dont l'utilisation comportait des risques en matière de sécurité</w:t>
      </w:r>
    </w:p>
    <w:p w14:paraId="151FA87A" w14:textId="77777777" w:rsidR="00E5593B" w:rsidRPr="00337722" w:rsidRDefault="00E5593B" w:rsidP="00E5593B">
      <w:pPr>
        <w:pStyle w:val="Paragraphedeliste"/>
        <w:numPr>
          <w:ilvl w:val="0"/>
          <w:numId w:val="5"/>
        </w:numPr>
        <w:spacing w:after="120"/>
        <w:contextualSpacing w:val="0"/>
        <w:jc w:val="both"/>
        <w:rPr>
          <w:color w:val="000000"/>
          <w:szCs w:val="24"/>
        </w:rPr>
      </w:pPr>
      <w:proofErr w:type="gramStart"/>
      <w:r w:rsidRPr="00337722">
        <w:rPr>
          <w:color w:val="000000"/>
          <w:szCs w:val="24"/>
        </w:rPr>
        <w:t>changements</w:t>
      </w:r>
      <w:proofErr w:type="gramEnd"/>
      <w:r w:rsidRPr="00337722">
        <w:rPr>
          <w:color w:val="000000"/>
          <w:szCs w:val="24"/>
        </w:rPr>
        <w:t xml:space="preserve"> de matériels défectueux et dont l'utilisation pouvait s'avérer dangereuse</w:t>
      </w:r>
    </w:p>
    <w:p w14:paraId="7A8F1075" w14:textId="77777777" w:rsidR="00E5593B" w:rsidRPr="00337722" w:rsidRDefault="00E5593B" w:rsidP="00E5593B">
      <w:pPr>
        <w:pStyle w:val="Paragraphedeliste"/>
        <w:numPr>
          <w:ilvl w:val="0"/>
          <w:numId w:val="4"/>
        </w:numPr>
        <w:ind w:left="283" w:hanging="215"/>
        <w:contextualSpacing w:val="0"/>
        <w:jc w:val="both"/>
        <w:rPr>
          <w:color w:val="000000"/>
          <w:szCs w:val="24"/>
        </w:rPr>
      </w:pPr>
      <w:r w:rsidRPr="00337722">
        <w:rPr>
          <w:color w:val="000000"/>
          <w:szCs w:val="24"/>
        </w:rPr>
        <w:t>Les dépenses correspondant aux mesures prises dans l’année pour l’amélioration des conditions de travail, à savoir des dépenses liées à l'amélioration de l'environnement de travail, comme :</w:t>
      </w:r>
    </w:p>
    <w:p w14:paraId="5D7744EC" w14:textId="77777777" w:rsidR="00E5593B" w:rsidRPr="00337722" w:rsidRDefault="00E5593B" w:rsidP="00E5593B">
      <w:pPr>
        <w:pStyle w:val="Paragraphedeliste"/>
        <w:numPr>
          <w:ilvl w:val="0"/>
          <w:numId w:val="5"/>
        </w:numPr>
        <w:ind w:left="714" w:hanging="357"/>
        <w:contextualSpacing w:val="0"/>
        <w:jc w:val="both"/>
        <w:rPr>
          <w:color w:val="000000"/>
          <w:szCs w:val="24"/>
        </w:rPr>
      </w:pPr>
      <w:proofErr w:type="gramStart"/>
      <w:r w:rsidRPr="00337722">
        <w:rPr>
          <w:color w:val="000000"/>
          <w:szCs w:val="24"/>
        </w:rPr>
        <w:t>meilleur</w:t>
      </w:r>
      <w:proofErr w:type="gramEnd"/>
      <w:r w:rsidRPr="00337722">
        <w:rPr>
          <w:color w:val="000000"/>
          <w:szCs w:val="24"/>
        </w:rPr>
        <w:t xml:space="preserve"> éclairage des locaux</w:t>
      </w:r>
    </w:p>
    <w:p w14:paraId="439C0BA5" w14:textId="77777777" w:rsidR="00E5593B" w:rsidRPr="00337722" w:rsidRDefault="00E5593B" w:rsidP="00E5593B">
      <w:pPr>
        <w:pStyle w:val="Paragraphedeliste"/>
        <w:numPr>
          <w:ilvl w:val="0"/>
          <w:numId w:val="5"/>
        </w:numPr>
        <w:ind w:left="714" w:hanging="357"/>
        <w:contextualSpacing w:val="0"/>
        <w:jc w:val="both"/>
        <w:rPr>
          <w:color w:val="000000"/>
          <w:szCs w:val="24"/>
        </w:rPr>
      </w:pPr>
      <w:proofErr w:type="gramStart"/>
      <w:r w:rsidRPr="00337722">
        <w:rPr>
          <w:color w:val="000000"/>
          <w:szCs w:val="24"/>
        </w:rPr>
        <w:t>achats</w:t>
      </w:r>
      <w:proofErr w:type="gramEnd"/>
      <w:r w:rsidRPr="00337722">
        <w:rPr>
          <w:color w:val="000000"/>
          <w:szCs w:val="24"/>
        </w:rPr>
        <w:t xml:space="preserve"> de mobiliers ergonomiques</w:t>
      </w:r>
    </w:p>
    <w:p w14:paraId="547780B9" w14:textId="77777777" w:rsidR="00E5593B" w:rsidRPr="00337722" w:rsidRDefault="00E5593B" w:rsidP="00E5593B">
      <w:pPr>
        <w:pStyle w:val="Paragraphedeliste"/>
        <w:numPr>
          <w:ilvl w:val="0"/>
          <w:numId w:val="5"/>
        </w:numPr>
        <w:ind w:left="714" w:hanging="357"/>
        <w:contextualSpacing w:val="0"/>
        <w:jc w:val="both"/>
        <w:rPr>
          <w:color w:val="000000"/>
          <w:szCs w:val="24"/>
        </w:rPr>
      </w:pPr>
      <w:proofErr w:type="gramStart"/>
      <w:r w:rsidRPr="00337722">
        <w:rPr>
          <w:color w:val="000000"/>
          <w:szCs w:val="24"/>
        </w:rPr>
        <w:t>agencement</w:t>
      </w:r>
      <w:proofErr w:type="gramEnd"/>
      <w:r w:rsidRPr="00337722">
        <w:rPr>
          <w:color w:val="000000"/>
          <w:szCs w:val="24"/>
        </w:rPr>
        <w:t xml:space="preserve"> de locaux pour diminuer la pénibilité de certaines tâches</w:t>
      </w:r>
    </w:p>
    <w:p w14:paraId="07921380" w14:textId="77777777" w:rsidR="00E5593B" w:rsidRPr="00337722" w:rsidRDefault="00E5593B" w:rsidP="00E5593B">
      <w:pPr>
        <w:pStyle w:val="Paragraphedeliste"/>
        <w:numPr>
          <w:ilvl w:val="0"/>
          <w:numId w:val="5"/>
        </w:numPr>
        <w:spacing w:after="120"/>
        <w:contextualSpacing w:val="0"/>
        <w:jc w:val="both"/>
        <w:rPr>
          <w:color w:val="000000"/>
          <w:szCs w:val="24"/>
        </w:rPr>
      </w:pPr>
      <w:proofErr w:type="gramStart"/>
      <w:r w:rsidRPr="00337722">
        <w:rPr>
          <w:color w:val="000000"/>
          <w:szCs w:val="24"/>
        </w:rPr>
        <w:t>remplacement</w:t>
      </w:r>
      <w:proofErr w:type="gramEnd"/>
      <w:r w:rsidRPr="00337722">
        <w:rPr>
          <w:color w:val="000000"/>
          <w:szCs w:val="24"/>
        </w:rPr>
        <w:t xml:space="preserve"> de matériels ou d'outils par des équipements plus modernes et d'utilisation plus aisée…</w:t>
      </w:r>
    </w:p>
    <w:p w14:paraId="0A02C442" w14:textId="77777777" w:rsidR="00E5593B" w:rsidRDefault="00E5593B" w:rsidP="00E5593B">
      <w:pPr>
        <w:pStyle w:val="Paragraphedeliste"/>
        <w:numPr>
          <w:ilvl w:val="0"/>
          <w:numId w:val="4"/>
        </w:numPr>
        <w:spacing w:after="120"/>
        <w:ind w:left="284" w:hanging="218"/>
        <w:contextualSpacing w:val="0"/>
        <w:jc w:val="both"/>
        <w:rPr>
          <w:color w:val="000000"/>
          <w:szCs w:val="24"/>
        </w:rPr>
      </w:pPr>
      <w:r w:rsidRPr="00337722">
        <w:rPr>
          <w:color w:val="000000"/>
          <w:szCs w:val="24"/>
        </w:rPr>
        <w:t>Ne pas y inclure les achats de matériel de bureau s'il s'agit du remplacement total ou partiel d'un parc existant pour suivre les évolutions de la technique (cas des micro-ordinateurs), les travaux de peinture qui correspondent à de l'entretien normal des locaux, et les investissements en matériel lourd (sauf s’ils ont un rapport direct avec la qualité de l’environnement de travail).</w:t>
      </w:r>
    </w:p>
    <w:p w14:paraId="272FD8A4" w14:textId="77777777" w:rsidR="00E5593B" w:rsidRPr="00337722" w:rsidRDefault="00E5593B" w:rsidP="00E5593B">
      <w:pPr>
        <w:pStyle w:val="Paragraphedeliste"/>
        <w:spacing w:after="120"/>
        <w:ind w:left="284"/>
        <w:contextualSpacing w:val="0"/>
        <w:jc w:val="both"/>
        <w:rPr>
          <w:color w:val="000000"/>
          <w:szCs w:val="24"/>
        </w:rPr>
      </w:pPr>
    </w:p>
    <w:p w14:paraId="7196DC0C" w14:textId="77777777" w:rsidR="00E5593B" w:rsidRPr="00B323EF" w:rsidRDefault="00E5593B" w:rsidP="00E5593B">
      <w:pPr>
        <w:jc w:val="both"/>
        <w:rPr>
          <w:b/>
          <w:color w:val="00B0F0"/>
          <w:szCs w:val="24"/>
        </w:rPr>
      </w:pPr>
      <w:r w:rsidRPr="00B323EF">
        <w:rPr>
          <w:b/>
          <w:color w:val="00B0F0"/>
          <w:szCs w:val="24"/>
        </w:rPr>
        <w:t xml:space="preserve">Quelles sont les formations à recenser à </w:t>
      </w:r>
      <w:r w:rsidRPr="00B323EF">
        <w:rPr>
          <w:b/>
          <w:i/>
          <w:color w:val="00B0F0"/>
          <w:szCs w:val="24"/>
        </w:rPr>
        <w:t>l’indicateur 4.1.2 </w:t>
      </w:r>
      <w:r w:rsidRPr="00B323EF">
        <w:rPr>
          <w:b/>
          <w:color w:val="00B0F0"/>
          <w:szCs w:val="24"/>
        </w:rPr>
        <w:t>?</w:t>
      </w:r>
    </w:p>
    <w:p w14:paraId="4384BBB5" w14:textId="77777777" w:rsidR="00E5593B" w:rsidRPr="004C14BB" w:rsidRDefault="00E5593B" w:rsidP="00E5593B">
      <w:pPr>
        <w:jc w:val="both"/>
        <w:rPr>
          <w:color w:val="000000"/>
          <w:szCs w:val="24"/>
        </w:rPr>
      </w:pPr>
      <w:r w:rsidRPr="004C14BB">
        <w:rPr>
          <w:color w:val="000000"/>
          <w:szCs w:val="24"/>
        </w:rPr>
        <w:t xml:space="preserve">L'indicateur 4.1.2 vise à recenser les formations prévues </w:t>
      </w:r>
      <w:r w:rsidRPr="00722E0C">
        <w:rPr>
          <w:color w:val="000000"/>
          <w:szCs w:val="24"/>
        </w:rPr>
        <w:t>par le décret n° 85-603 du 10 juin 1985</w:t>
      </w:r>
      <w:r w:rsidRPr="004C14BB">
        <w:rPr>
          <w:color w:val="000000"/>
          <w:szCs w:val="24"/>
        </w:rPr>
        <w:t xml:space="preserve"> relatif à l'hygiène et à la sécurité du travail ainsi qu'à la médecine professionnelle et préventive dans la fonction publique territoriale. Ce dernier prévoit l'organisation de plusieurs types d'actions de formation :</w:t>
      </w:r>
    </w:p>
    <w:p w14:paraId="5621F8A0" w14:textId="77777777" w:rsidR="00E5593B" w:rsidRPr="00A73465" w:rsidRDefault="00E5593B" w:rsidP="00E5593B">
      <w:pPr>
        <w:jc w:val="both"/>
        <w:rPr>
          <w:color w:val="000000"/>
          <w:szCs w:val="24"/>
        </w:rPr>
      </w:pPr>
      <w:r w:rsidRPr="004C14BB">
        <w:rPr>
          <w:color w:val="000000"/>
          <w:szCs w:val="24"/>
        </w:rPr>
        <w:t xml:space="preserve">- formation des assistants et conseillers de </w:t>
      </w:r>
      <w:r w:rsidRPr="00A73465">
        <w:rPr>
          <w:color w:val="000000"/>
          <w:szCs w:val="24"/>
        </w:rPr>
        <w:t>prévention (articles 4-2 et 9) ;</w:t>
      </w:r>
    </w:p>
    <w:p w14:paraId="704C0536" w14:textId="77777777" w:rsidR="00E5593B" w:rsidRPr="00A73465" w:rsidRDefault="00E5593B" w:rsidP="00E5593B">
      <w:pPr>
        <w:jc w:val="both"/>
        <w:rPr>
          <w:color w:val="000000"/>
          <w:szCs w:val="24"/>
        </w:rPr>
      </w:pPr>
      <w:r w:rsidRPr="00A73465">
        <w:rPr>
          <w:color w:val="000000"/>
          <w:szCs w:val="24"/>
        </w:rPr>
        <w:lastRenderedPageBreak/>
        <w:t>- formation des inspecteurs en santé et sécurité au travail (articles 5-3 et 9) ;</w:t>
      </w:r>
    </w:p>
    <w:p w14:paraId="2F70E8D2" w14:textId="77777777" w:rsidR="00E5593B" w:rsidRPr="00A73465" w:rsidRDefault="00E5593B" w:rsidP="00E5593B">
      <w:pPr>
        <w:jc w:val="both"/>
        <w:rPr>
          <w:color w:val="000000"/>
          <w:szCs w:val="24"/>
        </w:rPr>
      </w:pPr>
      <w:r w:rsidRPr="00A73465">
        <w:rPr>
          <w:color w:val="000000"/>
          <w:szCs w:val="24"/>
        </w:rPr>
        <w:t>- formation de l'ensemble des agents en matière d'hygiène et de sécurité (articles 6, 7 et 9) ;</w:t>
      </w:r>
    </w:p>
    <w:p w14:paraId="19A0920A" w14:textId="77777777" w:rsidR="00E5593B" w:rsidRPr="004C14BB" w:rsidRDefault="00E5593B" w:rsidP="00E5593B">
      <w:pPr>
        <w:jc w:val="both"/>
        <w:rPr>
          <w:color w:val="000000"/>
          <w:szCs w:val="24"/>
        </w:rPr>
      </w:pPr>
      <w:r w:rsidRPr="00A73465">
        <w:rPr>
          <w:color w:val="000000"/>
          <w:szCs w:val="24"/>
        </w:rPr>
        <w:t>- formation des membres des CHSCT (article 8 et 8-1).</w:t>
      </w:r>
    </w:p>
    <w:p w14:paraId="400F43A1" w14:textId="77777777" w:rsidR="00E5593B" w:rsidRPr="004C14BB" w:rsidRDefault="00E5593B" w:rsidP="00E5593B">
      <w:pPr>
        <w:jc w:val="both"/>
        <w:rPr>
          <w:color w:val="000000"/>
          <w:szCs w:val="24"/>
        </w:rPr>
      </w:pPr>
    </w:p>
    <w:p w14:paraId="24A24198" w14:textId="77777777" w:rsidR="00E5593B" w:rsidRPr="004C14BB" w:rsidRDefault="00E5593B" w:rsidP="00E5593B">
      <w:pPr>
        <w:jc w:val="both"/>
        <w:rPr>
          <w:color w:val="000000"/>
          <w:szCs w:val="24"/>
        </w:rPr>
      </w:pPr>
      <w:r w:rsidRPr="004C14BB">
        <w:rPr>
          <w:color w:val="000000"/>
          <w:szCs w:val="24"/>
        </w:rPr>
        <w:t xml:space="preserve">Aucun texte ne fait référence à la délivrance d'habilitations. Néanmoins, il ressort du guide juridique </w:t>
      </w:r>
      <w:r w:rsidRPr="00722E0C">
        <w:rPr>
          <w:color w:val="000000"/>
          <w:szCs w:val="24"/>
        </w:rPr>
        <w:t>d'application du décret n° 82-453 du 28 mai 1982 modifié relatif à l'hygiène</w:t>
      </w:r>
      <w:r w:rsidRPr="004C14BB">
        <w:rPr>
          <w:color w:val="000000"/>
          <w:szCs w:val="24"/>
        </w:rPr>
        <w:t xml:space="preserve"> et à la sécurité du travail, ainsi qu'à la prévention médicale dans la fonction publique que le représentant du personnel au CHSCT "connaît le milieu professionnel, les règles de sécurité, les habilitations et autorisations par métier". Dans ces circonstances, il est permis de penser que les habilitations sont délivrées aux agents susceptibles d'être exposés à des risques dans le cadre de leurs fonctions.</w:t>
      </w:r>
    </w:p>
    <w:p w14:paraId="7FBB3058" w14:textId="77777777" w:rsidR="00E5593B" w:rsidRPr="004C14BB" w:rsidRDefault="00E5593B" w:rsidP="00E5593B">
      <w:pPr>
        <w:jc w:val="both"/>
        <w:rPr>
          <w:color w:val="000000"/>
          <w:szCs w:val="24"/>
        </w:rPr>
      </w:pPr>
    </w:p>
    <w:p w14:paraId="4B3A8ECA" w14:textId="77777777" w:rsidR="00E5593B" w:rsidRPr="004C14BB" w:rsidRDefault="00E5593B" w:rsidP="00E5593B">
      <w:pPr>
        <w:jc w:val="both"/>
        <w:rPr>
          <w:color w:val="000000"/>
          <w:szCs w:val="24"/>
        </w:rPr>
      </w:pPr>
      <w:r w:rsidRPr="004C14BB">
        <w:rPr>
          <w:color w:val="000000"/>
          <w:szCs w:val="24"/>
        </w:rPr>
        <w:t>Le guide juridique dissocie plusieurs types de formations à destination des agents :</w:t>
      </w:r>
    </w:p>
    <w:p w14:paraId="2084A7BD" w14:textId="77777777" w:rsidR="00E5593B" w:rsidRPr="004C14BB" w:rsidRDefault="00E5593B" w:rsidP="00E5593B">
      <w:pPr>
        <w:jc w:val="both"/>
        <w:rPr>
          <w:color w:val="000000"/>
          <w:szCs w:val="24"/>
        </w:rPr>
      </w:pPr>
      <w:r w:rsidRPr="004C14BB">
        <w:rPr>
          <w:color w:val="000000"/>
          <w:szCs w:val="24"/>
        </w:rPr>
        <w:t>- celles portant sur les conditions de circulation sur les lieux de travail ;</w:t>
      </w:r>
    </w:p>
    <w:p w14:paraId="1C23B4A9" w14:textId="77777777" w:rsidR="00E5593B" w:rsidRPr="004C14BB" w:rsidRDefault="00E5593B" w:rsidP="00E5593B">
      <w:pPr>
        <w:jc w:val="both"/>
        <w:rPr>
          <w:color w:val="000000"/>
          <w:szCs w:val="24"/>
        </w:rPr>
      </w:pPr>
      <w:r w:rsidRPr="004C14BB">
        <w:rPr>
          <w:color w:val="000000"/>
          <w:szCs w:val="24"/>
        </w:rPr>
        <w:t>- celles portant sur les conditions d'exécution du travail ;</w:t>
      </w:r>
    </w:p>
    <w:p w14:paraId="20D67750" w14:textId="77777777" w:rsidR="00E5593B" w:rsidRPr="004C14BB" w:rsidRDefault="00E5593B" w:rsidP="00E5593B">
      <w:pPr>
        <w:jc w:val="both"/>
        <w:rPr>
          <w:color w:val="000000"/>
          <w:szCs w:val="24"/>
        </w:rPr>
      </w:pPr>
      <w:r w:rsidRPr="004C14BB">
        <w:rPr>
          <w:color w:val="000000"/>
          <w:szCs w:val="24"/>
        </w:rPr>
        <w:t>- celles portant sur les dispositions à prendre en cas d'accident ou de sinistre ;</w:t>
      </w:r>
    </w:p>
    <w:p w14:paraId="5EABE937" w14:textId="77777777" w:rsidR="00E5593B" w:rsidRPr="004C14BB" w:rsidRDefault="00E5593B" w:rsidP="00E5593B">
      <w:pPr>
        <w:jc w:val="both"/>
        <w:rPr>
          <w:color w:val="000000"/>
          <w:szCs w:val="24"/>
        </w:rPr>
      </w:pPr>
      <w:r w:rsidRPr="004C14BB">
        <w:rPr>
          <w:color w:val="000000"/>
          <w:szCs w:val="24"/>
        </w:rPr>
        <w:t>- celles portant sur les risques de responsabilité encourus.</w:t>
      </w:r>
    </w:p>
    <w:p w14:paraId="041EC2D1" w14:textId="77777777" w:rsidR="00E5593B" w:rsidRPr="004C14BB" w:rsidRDefault="00E5593B" w:rsidP="00E5593B">
      <w:pPr>
        <w:jc w:val="both"/>
        <w:rPr>
          <w:color w:val="000000"/>
          <w:szCs w:val="24"/>
        </w:rPr>
      </w:pPr>
    </w:p>
    <w:p w14:paraId="2B248B9E" w14:textId="77777777" w:rsidR="00E5593B" w:rsidRDefault="00E5593B" w:rsidP="00E5593B">
      <w:pPr>
        <w:jc w:val="both"/>
        <w:rPr>
          <w:color w:val="000000"/>
          <w:szCs w:val="24"/>
        </w:rPr>
      </w:pPr>
      <w:r w:rsidRPr="004C14BB">
        <w:rPr>
          <w:color w:val="000000"/>
          <w:szCs w:val="24"/>
        </w:rPr>
        <w:t>Il précise également qu'eu égard à la diversité des situations, le contenu des formations doit être fixé au cas par cas par l'administration.</w:t>
      </w:r>
    </w:p>
    <w:p w14:paraId="340CEF03" w14:textId="77777777" w:rsidR="00E5593B" w:rsidRDefault="00E5593B" w:rsidP="00E5593B">
      <w:pPr>
        <w:jc w:val="both"/>
        <w:rPr>
          <w:color w:val="000000"/>
          <w:szCs w:val="24"/>
        </w:rPr>
      </w:pPr>
    </w:p>
    <w:p w14:paraId="6F3A0BEC" w14:textId="77777777" w:rsidR="00E5593B" w:rsidRPr="00CF57D5" w:rsidRDefault="00E5593B" w:rsidP="00E5593B">
      <w:pPr>
        <w:jc w:val="both"/>
        <w:rPr>
          <w:color w:val="000000"/>
          <w:szCs w:val="24"/>
        </w:rPr>
      </w:pPr>
    </w:p>
    <w:p w14:paraId="20E841AA" w14:textId="77777777" w:rsidR="00E5593B" w:rsidRDefault="00E5593B" w:rsidP="00E5593B">
      <w:pPr>
        <w:jc w:val="both"/>
        <w:rPr>
          <w:rFonts w:cs="Arial"/>
          <w:b/>
          <w:color w:val="00B0F0"/>
          <w:szCs w:val="24"/>
        </w:rPr>
      </w:pPr>
      <w:r w:rsidRPr="00761730">
        <w:rPr>
          <w:rFonts w:cs="Arial"/>
          <w:b/>
          <w:color w:val="00B0F0"/>
          <w:szCs w:val="24"/>
        </w:rPr>
        <w:t>Dans la ligne "</w:t>
      </w:r>
      <w:r w:rsidRPr="000D7D13">
        <w:rPr>
          <w:rFonts w:cs="Arial"/>
          <w:b/>
          <w:color w:val="00B0F0"/>
          <w:szCs w:val="24"/>
        </w:rPr>
        <w:t xml:space="preserve"> </w:t>
      </w:r>
      <w:r w:rsidRPr="00761730">
        <w:rPr>
          <w:rFonts w:cs="Arial"/>
          <w:b/>
          <w:color w:val="00B0F0"/>
          <w:szCs w:val="24"/>
        </w:rPr>
        <w:t>Formation dans le cadre des habilitations ", comment renseigner une formation organisée en intra, d'une durée d'un jour, mais qui a touché plusieurs agents ?</w:t>
      </w:r>
    </w:p>
    <w:p w14:paraId="092BE403" w14:textId="77777777" w:rsidR="00E5593B" w:rsidRPr="00A81AED" w:rsidRDefault="00E5593B" w:rsidP="00E5593B">
      <w:pPr>
        <w:jc w:val="both"/>
        <w:rPr>
          <w:rFonts w:cs="Arial"/>
          <w:i/>
          <w:color w:val="E36C0A" w:themeColor="accent6" w:themeShade="BF"/>
          <w:szCs w:val="24"/>
        </w:rPr>
      </w:pPr>
      <w:r w:rsidRPr="00A81AED">
        <w:rPr>
          <w:rFonts w:cs="Arial"/>
          <w:i/>
          <w:color w:val="E36C0A" w:themeColor="accent6" w:themeShade="BF"/>
          <w:szCs w:val="24"/>
        </w:rPr>
        <w:t xml:space="preserve">Indicateur 4.1.2 – « Actions liées à la prévention dans l'année </w:t>
      </w:r>
      <w:r>
        <w:rPr>
          <w:rFonts w:cs="Arial"/>
          <w:i/>
          <w:color w:val="E36C0A" w:themeColor="accent6" w:themeShade="BF"/>
          <w:szCs w:val="24"/>
        </w:rPr>
        <w:t>2021</w:t>
      </w:r>
      <w:r w:rsidRPr="00A81AED">
        <w:rPr>
          <w:rFonts w:cs="Arial"/>
          <w:i/>
          <w:color w:val="E36C0A" w:themeColor="accent6" w:themeShade="BF"/>
          <w:szCs w:val="24"/>
        </w:rPr>
        <w:t> »</w:t>
      </w:r>
    </w:p>
    <w:p w14:paraId="73D704FA" w14:textId="77777777" w:rsidR="00E5593B" w:rsidRDefault="00E5593B" w:rsidP="00E5593B">
      <w:pPr>
        <w:jc w:val="both"/>
        <w:rPr>
          <w:color w:val="000000"/>
          <w:szCs w:val="24"/>
        </w:rPr>
      </w:pPr>
      <w:r w:rsidRPr="00AB15BC">
        <w:rPr>
          <w:color w:val="000000"/>
          <w:szCs w:val="24"/>
        </w:rPr>
        <w:t>Il s'agit ici de recenser le nombre de journées des agents concernés, on multiplie donc le nombre de jours par le nombre d'agents formés.</w:t>
      </w:r>
    </w:p>
    <w:p w14:paraId="1AE6EC60" w14:textId="77777777" w:rsidR="00E5593B" w:rsidRDefault="00E5593B" w:rsidP="00E5593B">
      <w:pPr>
        <w:jc w:val="both"/>
        <w:rPr>
          <w:color w:val="000000"/>
          <w:szCs w:val="24"/>
        </w:rPr>
      </w:pPr>
      <w:r>
        <w:rPr>
          <w:color w:val="000000"/>
          <w:szCs w:val="24"/>
        </w:rPr>
        <w:t>Par exemple, trois agents ont suivi la même formation une journée : je comptabilise (3 agents * 1 jour = 3 jours de formation). Dans l’indicateur, je note « 3 ».</w:t>
      </w:r>
    </w:p>
    <w:p w14:paraId="2806D49A" w14:textId="77777777" w:rsidR="00E5593B" w:rsidRPr="00AB15BC" w:rsidRDefault="00E5593B" w:rsidP="00E5593B">
      <w:pPr>
        <w:jc w:val="both"/>
        <w:rPr>
          <w:color w:val="000000"/>
          <w:szCs w:val="24"/>
        </w:rPr>
      </w:pPr>
    </w:p>
    <w:p w14:paraId="2916D47D" w14:textId="77777777" w:rsidR="00E5593B" w:rsidRDefault="00E5593B" w:rsidP="00E5593B">
      <w:pPr>
        <w:jc w:val="both"/>
        <w:rPr>
          <w:color w:val="000000"/>
          <w:szCs w:val="24"/>
        </w:rPr>
      </w:pPr>
    </w:p>
    <w:p w14:paraId="6BE29041" w14:textId="77777777" w:rsidR="00E5593B" w:rsidRDefault="00E5593B" w:rsidP="00E5593B">
      <w:pPr>
        <w:jc w:val="both"/>
        <w:rPr>
          <w:rFonts w:cs="Arial"/>
          <w:b/>
          <w:color w:val="00B0F0"/>
          <w:szCs w:val="24"/>
        </w:rPr>
      </w:pPr>
      <w:r w:rsidRPr="00761730">
        <w:rPr>
          <w:rFonts w:cs="Arial"/>
          <w:b/>
          <w:color w:val="00B0F0"/>
          <w:szCs w:val="24"/>
        </w:rPr>
        <w:t>Quels sont les documents et démarches de prévention à recenser ?</w:t>
      </w:r>
    </w:p>
    <w:p w14:paraId="6DC50D70" w14:textId="77777777" w:rsidR="00E5593B" w:rsidRPr="001133EE" w:rsidRDefault="00E5593B" w:rsidP="00E5593B">
      <w:pPr>
        <w:jc w:val="both"/>
        <w:rPr>
          <w:rFonts w:cs="Arial"/>
          <w:i/>
          <w:color w:val="E36C0A" w:themeColor="accent6" w:themeShade="BF"/>
          <w:szCs w:val="24"/>
        </w:rPr>
      </w:pPr>
      <w:r w:rsidRPr="001133EE">
        <w:rPr>
          <w:rFonts w:cs="Arial"/>
          <w:i/>
          <w:color w:val="E36C0A" w:themeColor="accent6" w:themeShade="BF"/>
          <w:szCs w:val="24"/>
        </w:rPr>
        <w:t>Indicateur</w:t>
      </w:r>
      <w:r>
        <w:rPr>
          <w:rFonts w:cs="Arial"/>
          <w:i/>
          <w:color w:val="E36C0A" w:themeColor="accent6" w:themeShade="BF"/>
          <w:szCs w:val="24"/>
        </w:rPr>
        <w:t>s</w:t>
      </w:r>
      <w:r w:rsidRPr="001133EE">
        <w:rPr>
          <w:rFonts w:cs="Arial"/>
          <w:i/>
          <w:color w:val="E36C0A" w:themeColor="accent6" w:themeShade="BF"/>
          <w:szCs w:val="24"/>
        </w:rPr>
        <w:t xml:space="preserve"> </w:t>
      </w:r>
      <w:r>
        <w:rPr>
          <w:rFonts w:cs="Arial"/>
          <w:i/>
          <w:color w:val="E36C0A" w:themeColor="accent6" w:themeShade="BF"/>
          <w:szCs w:val="24"/>
        </w:rPr>
        <w:t xml:space="preserve">4.1.4 à </w:t>
      </w:r>
      <w:r w:rsidRPr="0089439C">
        <w:rPr>
          <w:rFonts w:cs="Arial"/>
          <w:i/>
          <w:color w:val="E36C0A" w:themeColor="accent6" w:themeShade="BF"/>
          <w:szCs w:val="24"/>
        </w:rPr>
        <w:t xml:space="preserve">4.1.6 </w:t>
      </w:r>
      <w:r>
        <w:rPr>
          <w:rFonts w:cs="Arial"/>
          <w:i/>
          <w:color w:val="E36C0A" w:themeColor="accent6" w:themeShade="BF"/>
          <w:szCs w:val="24"/>
        </w:rPr>
        <w:t>– « </w:t>
      </w:r>
      <w:r w:rsidRPr="0089439C">
        <w:rPr>
          <w:rFonts w:cs="Arial"/>
          <w:i/>
          <w:color w:val="E36C0A" w:themeColor="accent6" w:themeShade="BF"/>
          <w:szCs w:val="24"/>
        </w:rPr>
        <w:t>Documents de prévention</w:t>
      </w:r>
      <w:r>
        <w:rPr>
          <w:rFonts w:cs="Arial"/>
          <w:i/>
          <w:color w:val="E36C0A" w:themeColor="accent6" w:themeShade="BF"/>
          <w:szCs w:val="24"/>
        </w:rPr>
        <w:t xml:space="preserve"> »  </w:t>
      </w:r>
    </w:p>
    <w:p w14:paraId="3BA17D65" w14:textId="77777777" w:rsidR="00E5593B" w:rsidRPr="00761730" w:rsidRDefault="00E5593B" w:rsidP="00E5593B">
      <w:pPr>
        <w:pStyle w:val="Paragraphedeliste"/>
        <w:numPr>
          <w:ilvl w:val="0"/>
          <w:numId w:val="6"/>
        </w:numPr>
        <w:ind w:left="426" w:hanging="357"/>
        <w:jc w:val="both"/>
        <w:rPr>
          <w:color w:val="000000"/>
          <w:szCs w:val="24"/>
        </w:rPr>
      </w:pPr>
      <w:r w:rsidRPr="00761730">
        <w:rPr>
          <w:color w:val="000000"/>
          <w:szCs w:val="24"/>
        </w:rPr>
        <w:t>Document unique d’évaluation des risques professionnels</w:t>
      </w:r>
    </w:p>
    <w:p w14:paraId="3D546156" w14:textId="77777777" w:rsidR="00E5593B" w:rsidRPr="00722E0C" w:rsidRDefault="00E5593B" w:rsidP="00E5593B">
      <w:pPr>
        <w:spacing w:after="120"/>
        <w:jc w:val="both"/>
        <w:rPr>
          <w:color w:val="000000"/>
          <w:szCs w:val="24"/>
        </w:rPr>
      </w:pPr>
      <w:r w:rsidRPr="00CF57D5">
        <w:rPr>
          <w:color w:val="000000"/>
          <w:szCs w:val="24"/>
        </w:rPr>
        <w:t>Les employeurs privés ou publics ont l’obligation de transcrire dans un document unique les résultats de l'évaluation des risques professionnels. Il s’agit d’un outil de prévention au profit des agents, des collectivit</w:t>
      </w:r>
      <w:r>
        <w:rPr>
          <w:color w:val="000000"/>
          <w:szCs w:val="24"/>
        </w:rPr>
        <w:t xml:space="preserve">és et des employeurs </w:t>
      </w:r>
      <w:r w:rsidRPr="00722E0C">
        <w:rPr>
          <w:color w:val="000000"/>
          <w:szCs w:val="24"/>
        </w:rPr>
        <w:t>publics. Cf. Article R. 4124-1 et suivants du code du travail.</w:t>
      </w:r>
    </w:p>
    <w:p w14:paraId="6926EB51" w14:textId="77777777" w:rsidR="00E5593B" w:rsidRPr="00722E0C" w:rsidRDefault="00E5593B" w:rsidP="00E5593B">
      <w:pPr>
        <w:pStyle w:val="Paragraphedeliste"/>
        <w:numPr>
          <w:ilvl w:val="0"/>
          <w:numId w:val="6"/>
        </w:numPr>
        <w:ind w:left="426" w:hanging="357"/>
        <w:jc w:val="both"/>
        <w:rPr>
          <w:color w:val="000000"/>
          <w:szCs w:val="24"/>
        </w:rPr>
      </w:pPr>
      <w:r w:rsidRPr="00722E0C">
        <w:rPr>
          <w:color w:val="000000"/>
          <w:szCs w:val="24"/>
        </w:rPr>
        <w:t>Plan de prévention des risques psychosociaux (RPS)</w:t>
      </w:r>
    </w:p>
    <w:p w14:paraId="151E82C8" w14:textId="77777777" w:rsidR="00E5593B" w:rsidRPr="00CF57D5" w:rsidRDefault="00E5593B" w:rsidP="00E5593B">
      <w:pPr>
        <w:spacing w:after="120"/>
        <w:jc w:val="both"/>
        <w:rPr>
          <w:color w:val="000000"/>
          <w:szCs w:val="24"/>
        </w:rPr>
      </w:pPr>
      <w:r w:rsidRPr="00CF57D5">
        <w:rPr>
          <w:color w:val="000000"/>
          <w:szCs w:val="24"/>
        </w:rPr>
        <w:t>Dans le cadre de l’élaboration du Document unique d’évaluation des risques professionnels, un diagnostic des RPS ainsi qu’un plan de prévention doivent être élaborés par l’autorité territoriale. Le plan de prévention des RPS s’inscrit dans une démarche à la fois de prévention des risques mais aussi d’amélioration de la qualité de vie au travail. Cf. Accord-cadre du 22 octobre 2013 relatif à la prévention des RPS dans la fonction publique (obligation pour les employeurs publics d’élaborer un plan d’évaluation et de prévention des RPS avant 2015)</w:t>
      </w:r>
    </w:p>
    <w:p w14:paraId="4E8BEBE7" w14:textId="77777777" w:rsidR="00E5593B" w:rsidRPr="00761730" w:rsidRDefault="00E5593B" w:rsidP="00E5593B">
      <w:pPr>
        <w:pStyle w:val="Paragraphedeliste"/>
        <w:numPr>
          <w:ilvl w:val="0"/>
          <w:numId w:val="6"/>
        </w:numPr>
        <w:ind w:left="426" w:hanging="357"/>
        <w:jc w:val="both"/>
        <w:rPr>
          <w:color w:val="000000"/>
          <w:szCs w:val="24"/>
        </w:rPr>
      </w:pPr>
      <w:r w:rsidRPr="00761730">
        <w:rPr>
          <w:color w:val="000000"/>
          <w:szCs w:val="24"/>
        </w:rPr>
        <w:t xml:space="preserve">Démarche de prévention des troubles </w:t>
      </w:r>
      <w:proofErr w:type="spellStart"/>
      <w:r w:rsidRPr="00761730">
        <w:rPr>
          <w:color w:val="000000"/>
          <w:szCs w:val="24"/>
        </w:rPr>
        <w:t>musculo-squelettiques</w:t>
      </w:r>
      <w:proofErr w:type="spellEnd"/>
      <w:r w:rsidRPr="00761730">
        <w:rPr>
          <w:color w:val="000000"/>
          <w:szCs w:val="24"/>
        </w:rPr>
        <w:t xml:space="preserve"> (TMS)</w:t>
      </w:r>
    </w:p>
    <w:p w14:paraId="68E5CE10" w14:textId="0F68A68B" w:rsidR="00E5593B" w:rsidRPr="00CF57D5" w:rsidRDefault="00E5593B" w:rsidP="00E5593B">
      <w:pPr>
        <w:spacing w:after="120"/>
        <w:jc w:val="both"/>
        <w:rPr>
          <w:color w:val="000000"/>
          <w:szCs w:val="24"/>
        </w:rPr>
      </w:pPr>
      <w:r w:rsidRPr="00CF57D5">
        <w:rPr>
          <w:color w:val="000000"/>
          <w:szCs w:val="24"/>
        </w:rPr>
        <w:t xml:space="preserve">Les TMS (Troubles </w:t>
      </w:r>
      <w:proofErr w:type="spellStart"/>
      <w:r w:rsidRPr="00CF57D5">
        <w:rPr>
          <w:color w:val="000000"/>
          <w:szCs w:val="24"/>
        </w:rPr>
        <w:t>Musculo-Squelettiques</w:t>
      </w:r>
      <w:proofErr w:type="spellEnd"/>
      <w:r w:rsidRPr="00CF57D5">
        <w:rPr>
          <w:color w:val="000000"/>
          <w:szCs w:val="24"/>
        </w:rPr>
        <w:t xml:space="preserve">) sont des problématiques plurifactorielles qui trouvent leur source dans le travail. Une démarche de prévention des TMS peut permettre d'identifier les mécanismes d'apparition et ainsi de prévoir des solutions adaptées. L’évaluation de ces troubles et </w:t>
      </w:r>
      <w:r w:rsidRPr="00CF57D5">
        <w:rPr>
          <w:color w:val="000000"/>
          <w:szCs w:val="24"/>
        </w:rPr>
        <w:lastRenderedPageBreak/>
        <w:t>la mise en place d’un plan d’actions est obligatoire dans le cadre de l’élaboration du Document unique d’évaluation des risques professionn</w:t>
      </w:r>
      <w:r w:rsidRPr="00F43662">
        <w:rPr>
          <w:color w:val="000000"/>
          <w:szCs w:val="24"/>
        </w:rPr>
        <w:t xml:space="preserve">els. </w:t>
      </w:r>
      <w:r w:rsidRPr="0058620E">
        <w:rPr>
          <w:color w:val="000000"/>
          <w:szCs w:val="24"/>
        </w:rPr>
        <w:t>Cf. Article R. 412</w:t>
      </w:r>
      <w:r w:rsidR="00E128A1">
        <w:rPr>
          <w:color w:val="000000"/>
          <w:szCs w:val="24"/>
        </w:rPr>
        <w:t>1</w:t>
      </w:r>
      <w:r w:rsidRPr="0058620E">
        <w:rPr>
          <w:color w:val="000000"/>
          <w:szCs w:val="24"/>
        </w:rPr>
        <w:t>-1 et suivants du code du travail.</w:t>
      </w:r>
    </w:p>
    <w:p w14:paraId="531F3126" w14:textId="77777777" w:rsidR="00E5593B" w:rsidRPr="00761730" w:rsidRDefault="00E5593B" w:rsidP="00E5593B">
      <w:pPr>
        <w:pStyle w:val="Paragraphedeliste"/>
        <w:numPr>
          <w:ilvl w:val="0"/>
          <w:numId w:val="6"/>
        </w:numPr>
        <w:ind w:left="426" w:hanging="357"/>
        <w:jc w:val="both"/>
        <w:rPr>
          <w:color w:val="000000"/>
          <w:szCs w:val="24"/>
        </w:rPr>
      </w:pPr>
      <w:r w:rsidRPr="00761730">
        <w:rPr>
          <w:color w:val="000000"/>
          <w:szCs w:val="24"/>
        </w:rPr>
        <w:t xml:space="preserve">Démarche de prévention des risques cancérogènes, mutagènes, toxiques pour la reproduction (CMR) </w:t>
      </w:r>
    </w:p>
    <w:p w14:paraId="6EAD69E0" w14:textId="77777777" w:rsidR="00E5593B" w:rsidRPr="00CF57D5" w:rsidRDefault="00E5593B" w:rsidP="00E5593B">
      <w:pPr>
        <w:spacing w:after="120"/>
        <w:jc w:val="both"/>
        <w:rPr>
          <w:color w:val="000000"/>
          <w:szCs w:val="24"/>
        </w:rPr>
      </w:pPr>
      <w:r w:rsidRPr="00CF57D5">
        <w:rPr>
          <w:color w:val="000000"/>
          <w:szCs w:val="24"/>
        </w:rPr>
        <w:t>La prévention du risque d’exposition à des agents chimiques cancérogènes, mutagènes ou toxiques pour la reproduction (CMR) relève du Code du travail et s’inscrit dans la prévention du risque chimique. L’évaluation des risques et la mise en place des mesures de prévention appropriées reposent sur la connaissance du risque CMR. Elle s’appuie sur les classifications réglementaires des agents chimiques dangereux qui permettent notamment de définir les dangers et de les communiquer par le biais de l’étiquetage. Le Code du travail définit les agents chimiques dangereux CMR et les répartit en 3 catégories selon la gravité des effets CMR (</w:t>
      </w:r>
      <w:r w:rsidRPr="0058620E">
        <w:rPr>
          <w:color w:val="000000"/>
          <w:szCs w:val="24"/>
        </w:rPr>
        <w:t>article R. 4411-6).</w:t>
      </w:r>
    </w:p>
    <w:p w14:paraId="0DC3A5DF" w14:textId="77777777" w:rsidR="00E5593B" w:rsidRPr="00761730" w:rsidRDefault="00E5593B" w:rsidP="00E5593B">
      <w:pPr>
        <w:pStyle w:val="Paragraphedeliste"/>
        <w:numPr>
          <w:ilvl w:val="0"/>
          <w:numId w:val="6"/>
        </w:numPr>
        <w:spacing w:after="120"/>
        <w:ind w:left="425" w:hanging="357"/>
        <w:jc w:val="both"/>
        <w:rPr>
          <w:color w:val="000000"/>
          <w:szCs w:val="24"/>
        </w:rPr>
      </w:pPr>
      <w:r w:rsidRPr="00761730">
        <w:rPr>
          <w:color w:val="000000"/>
          <w:szCs w:val="24"/>
        </w:rPr>
        <w:t>Autres démarches de prévention des risques</w:t>
      </w:r>
    </w:p>
    <w:p w14:paraId="25BF1A47" w14:textId="77777777" w:rsidR="00E5593B" w:rsidRPr="00AB15BC" w:rsidRDefault="00E5593B" w:rsidP="00E5593B">
      <w:pPr>
        <w:spacing w:after="120"/>
        <w:jc w:val="both"/>
        <w:rPr>
          <w:color w:val="000000"/>
          <w:szCs w:val="24"/>
        </w:rPr>
      </w:pPr>
      <w:r w:rsidRPr="00CF57D5">
        <w:rPr>
          <w:color w:val="000000"/>
          <w:szCs w:val="24"/>
        </w:rPr>
        <w:t>Exemple : démarches de prévention du risque routier, des addictions, des chutes de hauteur, de la pé</w:t>
      </w:r>
      <w:r w:rsidRPr="003C2FCA">
        <w:rPr>
          <w:szCs w:val="24"/>
        </w:rPr>
        <w:t>nibilité, initiation à la mise en œuvre des extincteurs, …</w:t>
      </w:r>
    </w:p>
    <w:p w14:paraId="2F5FED76" w14:textId="77777777" w:rsidR="00E5593B" w:rsidRPr="003C2FCA" w:rsidRDefault="00E5593B" w:rsidP="00E5593B">
      <w:pPr>
        <w:jc w:val="both"/>
        <w:rPr>
          <w:szCs w:val="24"/>
        </w:rPr>
      </w:pPr>
    </w:p>
    <w:p w14:paraId="0E258F47" w14:textId="77777777" w:rsidR="00E5593B" w:rsidRDefault="00E5593B" w:rsidP="00E5593B">
      <w:pPr>
        <w:jc w:val="both"/>
        <w:rPr>
          <w:rFonts w:cs="Arial"/>
          <w:b/>
          <w:color w:val="00B0F0"/>
          <w:szCs w:val="24"/>
        </w:rPr>
      </w:pPr>
      <w:r w:rsidRPr="004E1C19">
        <w:rPr>
          <w:rFonts w:cs="Arial"/>
          <w:b/>
          <w:color w:val="00B0F0"/>
          <w:szCs w:val="24"/>
        </w:rPr>
        <w:t>Si l’accident de service n’entraîne pas une interruption de travail, doit-il être comptabilisé ?</w:t>
      </w:r>
    </w:p>
    <w:p w14:paraId="51F64E3D" w14:textId="77777777" w:rsidR="00E5593B" w:rsidRPr="00DB22A0" w:rsidRDefault="00E5593B" w:rsidP="00E5593B">
      <w:pPr>
        <w:jc w:val="both"/>
        <w:rPr>
          <w:rFonts w:cs="Arial"/>
          <w:i/>
          <w:color w:val="E36C0A" w:themeColor="accent6" w:themeShade="BF"/>
          <w:szCs w:val="24"/>
        </w:rPr>
      </w:pPr>
      <w:r w:rsidRPr="00DB22A0">
        <w:rPr>
          <w:rFonts w:cs="Arial"/>
          <w:i/>
          <w:color w:val="E36C0A" w:themeColor="accent6" w:themeShade="BF"/>
          <w:szCs w:val="24"/>
        </w:rPr>
        <w:t>Indicateur 4.2.1 – « Les accidents du travail</w:t>
      </w:r>
      <w:r>
        <w:rPr>
          <w:rFonts w:cs="Arial"/>
          <w:i/>
          <w:color w:val="E36C0A" w:themeColor="accent6" w:themeShade="BF"/>
          <w:szCs w:val="24"/>
        </w:rPr>
        <w:t xml:space="preserve"> survenus dans l'année 2021 </w:t>
      </w:r>
      <w:r w:rsidRPr="00DB22A0">
        <w:rPr>
          <w:rFonts w:cs="Arial"/>
          <w:i/>
          <w:color w:val="E36C0A" w:themeColor="accent6" w:themeShade="BF"/>
          <w:szCs w:val="24"/>
        </w:rPr>
        <w:t>par cadre d'emplois et par sexe »</w:t>
      </w:r>
    </w:p>
    <w:p w14:paraId="712463E2" w14:textId="77777777" w:rsidR="00E5593B" w:rsidRDefault="00E5593B" w:rsidP="00E5593B">
      <w:pPr>
        <w:spacing w:after="120"/>
        <w:jc w:val="both"/>
        <w:rPr>
          <w:szCs w:val="24"/>
        </w:rPr>
      </w:pPr>
      <w:r w:rsidRPr="00145914">
        <w:rPr>
          <w:b/>
          <w:szCs w:val="24"/>
        </w:rPr>
        <w:t>Oui</w:t>
      </w:r>
      <w:r>
        <w:rPr>
          <w:szCs w:val="24"/>
        </w:rPr>
        <w:t>, c</w:t>
      </w:r>
      <w:r w:rsidRPr="003C2FCA">
        <w:rPr>
          <w:szCs w:val="24"/>
        </w:rPr>
        <w:t xml:space="preserve">et indicateur recense le nombre d’accidents de service qu’il y ait eu </w:t>
      </w:r>
      <w:r>
        <w:rPr>
          <w:szCs w:val="24"/>
        </w:rPr>
        <w:t>ou non un arrêt de travail</w:t>
      </w:r>
      <w:r w:rsidRPr="003C2FCA">
        <w:rPr>
          <w:szCs w:val="24"/>
        </w:rPr>
        <w:t>.</w:t>
      </w:r>
    </w:p>
    <w:p w14:paraId="1C18BA42" w14:textId="77777777" w:rsidR="00E5593B" w:rsidRDefault="00E5593B" w:rsidP="00E5593B">
      <w:pPr>
        <w:jc w:val="both"/>
        <w:rPr>
          <w:rFonts w:cs="Arial"/>
          <w:b/>
          <w:color w:val="00B0F0"/>
          <w:szCs w:val="24"/>
        </w:rPr>
      </w:pPr>
      <w:r w:rsidRPr="004E1C19">
        <w:rPr>
          <w:rFonts w:cs="Arial"/>
          <w:b/>
          <w:color w:val="00B0F0"/>
          <w:szCs w:val="24"/>
        </w:rPr>
        <w:t xml:space="preserve">Si </w:t>
      </w:r>
      <w:r>
        <w:rPr>
          <w:rFonts w:cs="Arial"/>
          <w:b/>
          <w:color w:val="00B0F0"/>
          <w:szCs w:val="24"/>
        </w:rPr>
        <w:t xml:space="preserve">un </w:t>
      </w:r>
      <w:r w:rsidRPr="004E1C19">
        <w:rPr>
          <w:rFonts w:cs="Arial"/>
          <w:b/>
          <w:color w:val="00B0F0"/>
          <w:szCs w:val="24"/>
        </w:rPr>
        <w:t>accident de service</w:t>
      </w:r>
      <w:r>
        <w:rPr>
          <w:rFonts w:cs="Arial"/>
          <w:b/>
          <w:color w:val="00B0F0"/>
          <w:szCs w:val="24"/>
        </w:rPr>
        <w:t>/ de trajet</w:t>
      </w:r>
      <w:r w:rsidRPr="004E1C19">
        <w:rPr>
          <w:rFonts w:cs="Arial"/>
          <w:b/>
          <w:color w:val="00B0F0"/>
          <w:szCs w:val="24"/>
        </w:rPr>
        <w:t xml:space="preserve"> </w:t>
      </w:r>
      <w:r>
        <w:rPr>
          <w:rFonts w:cs="Arial"/>
          <w:b/>
          <w:color w:val="00B0F0"/>
          <w:szCs w:val="24"/>
        </w:rPr>
        <w:t>antérieur</w:t>
      </w:r>
      <w:r w:rsidRPr="004E1C19">
        <w:rPr>
          <w:rFonts w:cs="Arial"/>
          <w:b/>
          <w:color w:val="00B0F0"/>
          <w:szCs w:val="24"/>
        </w:rPr>
        <w:t xml:space="preserve"> </w:t>
      </w:r>
      <w:r>
        <w:rPr>
          <w:rFonts w:cs="Arial"/>
          <w:b/>
          <w:color w:val="00B0F0"/>
          <w:szCs w:val="24"/>
        </w:rPr>
        <w:t xml:space="preserve">à 2021 entraine </w:t>
      </w:r>
      <w:r w:rsidRPr="004E1C19">
        <w:rPr>
          <w:rFonts w:cs="Arial"/>
          <w:b/>
          <w:color w:val="00B0F0"/>
          <w:szCs w:val="24"/>
        </w:rPr>
        <w:t xml:space="preserve">une interruption de travail, </w:t>
      </w:r>
      <w:r>
        <w:rPr>
          <w:rFonts w:cs="Arial"/>
          <w:b/>
          <w:color w:val="00B0F0"/>
          <w:szCs w:val="24"/>
        </w:rPr>
        <w:t xml:space="preserve">comment </w:t>
      </w:r>
      <w:r w:rsidRPr="004E1C19">
        <w:rPr>
          <w:rFonts w:cs="Arial"/>
          <w:b/>
          <w:color w:val="00B0F0"/>
          <w:szCs w:val="24"/>
        </w:rPr>
        <w:t>doit-il être comptabilisé ?</w:t>
      </w:r>
    </w:p>
    <w:p w14:paraId="7BAE31D7" w14:textId="77777777" w:rsidR="00E5593B" w:rsidRPr="00DB22A0" w:rsidRDefault="00E5593B" w:rsidP="00E5593B">
      <w:pPr>
        <w:jc w:val="both"/>
        <w:rPr>
          <w:rFonts w:cs="Arial"/>
          <w:i/>
          <w:color w:val="E36C0A" w:themeColor="accent6" w:themeShade="BF"/>
          <w:szCs w:val="24"/>
        </w:rPr>
      </w:pPr>
      <w:r w:rsidRPr="00DB22A0">
        <w:rPr>
          <w:rFonts w:cs="Arial"/>
          <w:i/>
          <w:color w:val="E36C0A" w:themeColor="accent6" w:themeShade="BF"/>
          <w:szCs w:val="24"/>
        </w:rPr>
        <w:t>Indicateur 4.2.1 – « Les accidents du travail</w:t>
      </w:r>
      <w:r>
        <w:rPr>
          <w:rFonts w:cs="Arial"/>
          <w:i/>
          <w:color w:val="E36C0A" w:themeColor="accent6" w:themeShade="BF"/>
          <w:szCs w:val="24"/>
        </w:rPr>
        <w:t xml:space="preserve"> survenus dans l'année 2021 </w:t>
      </w:r>
      <w:r w:rsidRPr="00DB22A0">
        <w:rPr>
          <w:rFonts w:cs="Arial"/>
          <w:i/>
          <w:color w:val="E36C0A" w:themeColor="accent6" w:themeShade="BF"/>
          <w:szCs w:val="24"/>
        </w:rPr>
        <w:t>par cadre d'emplois et par sexe »</w:t>
      </w:r>
    </w:p>
    <w:p w14:paraId="64BB0A53" w14:textId="77777777" w:rsidR="00E5593B" w:rsidRDefault="00E5593B" w:rsidP="00E5593B">
      <w:pPr>
        <w:spacing w:after="120"/>
        <w:jc w:val="both"/>
        <w:rPr>
          <w:szCs w:val="24"/>
        </w:rPr>
      </w:pPr>
      <w:r w:rsidRPr="00145914">
        <w:rPr>
          <w:b/>
          <w:szCs w:val="24"/>
        </w:rPr>
        <w:t>Oui</w:t>
      </w:r>
      <w:r>
        <w:rPr>
          <w:szCs w:val="24"/>
        </w:rPr>
        <w:t>, il convient d’indiquer uniquement le nombre de jours d’arrêts pour ce motif sur l’année 2021.</w:t>
      </w:r>
    </w:p>
    <w:p w14:paraId="768810DA" w14:textId="77777777" w:rsidR="00E5593B" w:rsidRPr="00262C33" w:rsidRDefault="00E5593B" w:rsidP="00E5593B">
      <w:pPr>
        <w:overflowPunct/>
        <w:autoSpaceDE/>
        <w:autoSpaceDN/>
        <w:adjustRightInd/>
        <w:jc w:val="both"/>
        <w:textAlignment w:val="auto"/>
        <w:rPr>
          <w:b/>
          <w:color w:val="00B0F0"/>
          <w:szCs w:val="24"/>
        </w:rPr>
      </w:pPr>
      <w:r w:rsidRPr="00262C33">
        <w:rPr>
          <w:b/>
          <w:color w:val="00B0F0"/>
          <w:szCs w:val="24"/>
        </w:rPr>
        <w:t>Comment renseigner les accidents du travail et les maladies professionnelles des contractuels sur emploi non permanent et des apprentis ?</w:t>
      </w:r>
    </w:p>
    <w:p w14:paraId="5CFB8151" w14:textId="77777777" w:rsidR="00E5593B" w:rsidRPr="003F42C2" w:rsidRDefault="00E5593B" w:rsidP="00E5593B">
      <w:pPr>
        <w:overflowPunct/>
        <w:autoSpaceDE/>
        <w:autoSpaceDN/>
        <w:adjustRightInd/>
        <w:jc w:val="both"/>
        <w:textAlignment w:val="auto"/>
        <w:rPr>
          <w:i/>
          <w:color w:val="E36C0A" w:themeColor="accent6" w:themeShade="BF"/>
          <w:szCs w:val="24"/>
        </w:rPr>
      </w:pPr>
      <w:r w:rsidRPr="003F42C2">
        <w:rPr>
          <w:i/>
          <w:color w:val="E36C0A" w:themeColor="accent6" w:themeShade="BF"/>
          <w:szCs w:val="24"/>
        </w:rPr>
        <w:t>Indicateurs 4.2.1 et 4.2.2</w:t>
      </w:r>
    </w:p>
    <w:p w14:paraId="379CDFA9" w14:textId="77777777" w:rsidR="00E5593B" w:rsidRPr="00262C33" w:rsidRDefault="00E5593B" w:rsidP="00E5593B">
      <w:pPr>
        <w:jc w:val="both"/>
        <w:rPr>
          <w:rFonts w:cstheme="minorHAnsi"/>
          <w:szCs w:val="24"/>
        </w:rPr>
      </w:pPr>
      <w:r w:rsidRPr="00262C33">
        <w:rPr>
          <w:rFonts w:cstheme="minorHAnsi"/>
          <w:szCs w:val="24"/>
        </w:rPr>
        <w:t xml:space="preserve">Les agents sur emploi non permanent doivent être renseignés dans la filière et le cadre d’emplois le plus proche de la fonction exercée et l’apprenti </w:t>
      </w:r>
      <w:r w:rsidRPr="00262C33">
        <w:rPr>
          <w:szCs w:val="24"/>
        </w:rPr>
        <w:t>dans la filière la plus proche du poste ou de la formation exercée.</w:t>
      </w:r>
    </w:p>
    <w:p w14:paraId="183D2B11" w14:textId="77777777" w:rsidR="00E5593B" w:rsidRDefault="00E5593B" w:rsidP="00E5593B">
      <w:pPr>
        <w:jc w:val="both"/>
        <w:rPr>
          <w:rFonts w:cs="Arial"/>
          <w:b/>
          <w:color w:val="00B0F0"/>
          <w:szCs w:val="24"/>
        </w:rPr>
      </w:pPr>
    </w:p>
    <w:p w14:paraId="7DA9E864" w14:textId="77777777" w:rsidR="00E5593B" w:rsidRDefault="00E5593B" w:rsidP="00E5593B">
      <w:pPr>
        <w:jc w:val="both"/>
        <w:rPr>
          <w:rFonts w:cs="Arial"/>
          <w:b/>
          <w:color w:val="00B0F0"/>
          <w:szCs w:val="24"/>
        </w:rPr>
      </w:pPr>
      <w:r w:rsidRPr="004E1C19">
        <w:rPr>
          <w:rFonts w:cs="Arial"/>
          <w:b/>
          <w:color w:val="00B0F0"/>
          <w:szCs w:val="24"/>
        </w:rPr>
        <w:t xml:space="preserve">Pour les inaptitudes, faut-il recenser uniquement les demandes émanant réellement de l'agent, ou toutes les demandes, même si elles viennent après que le médecin </w:t>
      </w:r>
      <w:proofErr w:type="gramStart"/>
      <w:r w:rsidRPr="004E1C19">
        <w:rPr>
          <w:rFonts w:cs="Arial"/>
          <w:b/>
          <w:color w:val="00B0F0"/>
          <w:szCs w:val="24"/>
        </w:rPr>
        <w:t>ait</w:t>
      </w:r>
      <w:proofErr w:type="gramEnd"/>
      <w:r w:rsidRPr="004E1C19">
        <w:rPr>
          <w:rFonts w:cs="Arial"/>
          <w:b/>
          <w:color w:val="00B0F0"/>
          <w:szCs w:val="24"/>
        </w:rPr>
        <w:t xml:space="preserve"> signalé un besoin de reclassement ?</w:t>
      </w:r>
    </w:p>
    <w:p w14:paraId="7A452D86" w14:textId="77777777" w:rsidR="00E5593B" w:rsidRPr="00F43662" w:rsidRDefault="00E5593B" w:rsidP="00E5593B">
      <w:pPr>
        <w:jc w:val="both"/>
        <w:rPr>
          <w:rFonts w:cs="Arial"/>
          <w:i/>
          <w:color w:val="E36C0A" w:themeColor="accent6" w:themeShade="BF"/>
          <w:szCs w:val="24"/>
        </w:rPr>
      </w:pPr>
      <w:r w:rsidRPr="00F43662">
        <w:rPr>
          <w:rFonts w:cs="Arial"/>
          <w:i/>
          <w:color w:val="E36C0A" w:themeColor="accent6" w:themeShade="BF"/>
          <w:szCs w:val="24"/>
        </w:rPr>
        <w:t xml:space="preserve">Indicateur </w:t>
      </w:r>
      <w:r>
        <w:rPr>
          <w:rFonts w:cs="Arial"/>
          <w:i/>
          <w:color w:val="E36C0A" w:themeColor="accent6" w:themeShade="BF"/>
          <w:szCs w:val="24"/>
        </w:rPr>
        <w:t>4.4.1</w:t>
      </w:r>
      <w:r w:rsidRPr="00F43662">
        <w:rPr>
          <w:rFonts w:cs="Arial"/>
          <w:i/>
          <w:color w:val="E36C0A" w:themeColor="accent6" w:themeShade="BF"/>
          <w:szCs w:val="24"/>
        </w:rPr>
        <w:t xml:space="preserve"> – « Inaptitudes au cours de l'année </w:t>
      </w:r>
      <w:r>
        <w:rPr>
          <w:rFonts w:cs="Arial"/>
          <w:i/>
          <w:color w:val="E36C0A" w:themeColor="accent6" w:themeShade="BF"/>
          <w:szCs w:val="24"/>
        </w:rPr>
        <w:t>2021</w:t>
      </w:r>
      <w:r w:rsidRPr="00F43662">
        <w:rPr>
          <w:rFonts w:cs="Arial"/>
          <w:i/>
          <w:color w:val="E36C0A" w:themeColor="accent6" w:themeShade="BF"/>
          <w:szCs w:val="24"/>
        </w:rPr>
        <w:t> »</w:t>
      </w:r>
    </w:p>
    <w:p w14:paraId="4AF06EC8" w14:textId="77777777" w:rsidR="00E5593B" w:rsidRPr="00F43662" w:rsidRDefault="00E5593B" w:rsidP="00E5593B">
      <w:pPr>
        <w:jc w:val="both"/>
        <w:rPr>
          <w:color w:val="000000"/>
          <w:szCs w:val="24"/>
        </w:rPr>
      </w:pPr>
      <w:r w:rsidRPr="00F43662">
        <w:rPr>
          <w:color w:val="000000"/>
          <w:szCs w:val="24"/>
        </w:rPr>
        <w:t>Il faut recenser toutes les demandes, même si elles interviennent sur préconisation médicale. De même, vous devez aussi comptabiliser les renouvellements de demandes.</w:t>
      </w:r>
    </w:p>
    <w:p w14:paraId="04D6C74D" w14:textId="77777777" w:rsidR="00E5593B" w:rsidRPr="00F43662" w:rsidRDefault="00E5593B" w:rsidP="00E5593B">
      <w:pPr>
        <w:jc w:val="both"/>
        <w:rPr>
          <w:color w:val="000000"/>
          <w:szCs w:val="24"/>
        </w:rPr>
      </w:pPr>
    </w:p>
    <w:p w14:paraId="3EA883E1" w14:textId="77777777" w:rsidR="00E5593B" w:rsidRPr="00F43662" w:rsidRDefault="00E5593B" w:rsidP="00E5593B">
      <w:pPr>
        <w:jc w:val="both"/>
        <w:rPr>
          <w:rFonts w:cs="Arial"/>
          <w:b/>
          <w:color w:val="00B0F0"/>
          <w:szCs w:val="24"/>
        </w:rPr>
      </w:pPr>
      <w:r w:rsidRPr="00F43662">
        <w:rPr>
          <w:rFonts w:cs="Arial"/>
          <w:b/>
          <w:color w:val="00B0F0"/>
          <w:szCs w:val="24"/>
        </w:rPr>
        <w:t>En ce qui concerne la ligne "reclassement effectif", s'agit-il des reclassements au sens strict, avec passage en comité médical ou commission de réforme, ou bien faut-il compter également les reclassements "de fait" (l'agent a changé de poste du fait de sa santé, mais il n'y a pas eu de changement de grade par intégration directe) ?</w:t>
      </w:r>
    </w:p>
    <w:p w14:paraId="61D81D56" w14:textId="77777777" w:rsidR="00E5593B" w:rsidRPr="00F43662" w:rsidRDefault="00E5593B" w:rsidP="00E5593B">
      <w:pPr>
        <w:jc w:val="both"/>
        <w:rPr>
          <w:b/>
          <w:color w:val="000000"/>
          <w:sz w:val="16"/>
          <w:szCs w:val="16"/>
        </w:rPr>
      </w:pPr>
      <w:r w:rsidRPr="00F43662">
        <w:rPr>
          <w:rFonts w:cs="Arial"/>
          <w:i/>
          <w:color w:val="E36C0A" w:themeColor="accent6" w:themeShade="BF"/>
          <w:szCs w:val="24"/>
        </w:rPr>
        <w:t xml:space="preserve">Indicateur </w:t>
      </w:r>
      <w:r>
        <w:rPr>
          <w:rFonts w:cs="Arial"/>
          <w:i/>
          <w:color w:val="E36C0A" w:themeColor="accent6" w:themeShade="BF"/>
          <w:szCs w:val="24"/>
        </w:rPr>
        <w:t>4.4.1</w:t>
      </w:r>
      <w:r w:rsidRPr="00F43662">
        <w:rPr>
          <w:rFonts w:cs="Arial"/>
          <w:i/>
          <w:color w:val="E36C0A" w:themeColor="accent6" w:themeShade="BF"/>
          <w:szCs w:val="24"/>
        </w:rPr>
        <w:t xml:space="preserve"> – « Inaptitudes au cours de l'année </w:t>
      </w:r>
      <w:r>
        <w:rPr>
          <w:rFonts w:cs="Arial"/>
          <w:i/>
          <w:color w:val="E36C0A" w:themeColor="accent6" w:themeShade="BF"/>
          <w:szCs w:val="24"/>
        </w:rPr>
        <w:t>2021</w:t>
      </w:r>
      <w:r w:rsidRPr="00F43662">
        <w:rPr>
          <w:rFonts w:cs="Arial"/>
          <w:i/>
          <w:color w:val="E36C0A" w:themeColor="accent6" w:themeShade="BF"/>
          <w:szCs w:val="24"/>
        </w:rPr>
        <w:t> »</w:t>
      </w:r>
    </w:p>
    <w:p w14:paraId="3AEA5AD6" w14:textId="77777777" w:rsidR="00E5593B" w:rsidRPr="00F43662" w:rsidRDefault="00E5593B" w:rsidP="00E5593B">
      <w:pPr>
        <w:jc w:val="both"/>
        <w:rPr>
          <w:color w:val="000000"/>
          <w:szCs w:val="24"/>
        </w:rPr>
      </w:pPr>
      <w:r w:rsidRPr="00F43662">
        <w:rPr>
          <w:color w:val="000000"/>
          <w:szCs w:val="24"/>
        </w:rPr>
        <w:t>Le terme de reclassement est entendu au sens réglementaire, il ne faut donc recenser que les reclassements ayant fait l'objet d'un passage en comité médical ou en commission de réforme.</w:t>
      </w:r>
    </w:p>
    <w:p w14:paraId="4BABA17A" w14:textId="77777777" w:rsidR="00E5593B" w:rsidRDefault="00E5593B" w:rsidP="00E5593B">
      <w:pPr>
        <w:jc w:val="both"/>
        <w:rPr>
          <w:b/>
          <w:color w:val="000000"/>
          <w:szCs w:val="24"/>
        </w:rPr>
      </w:pPr>
    </w:p>
    <w:p w14:paraId="125EA814" w14:textId="77777777" w:rsidR="00E5593B" w:rsidRPr="00695F64" w:rsidRDefault="00E5593B" w:rsidP="00E5593B">
      <w:pPr>
        <w:jc w:val="both"/>
        <w:rPr>
          <w:rFonts w:cs="Arial"/>
          <w:b/>
          <w:color w:val="00B0F0"/>
          <w:szCs w:val="24"/>
        </w:rPr>
      </w:pPr>
      <w:r w:rsidRPr="00695F64">
        <w:rPr>
          <w:rFonts w:cs="Arial"/>
          <w:b/>
          <w:color w:val="00B0F0"/>
          <w:szCs w:val="24"/>
        </w:rPr>
        <w:lastRenderedPageBreak/>
        <w:t>Qu’entend-on par contrat d’assurance statutaire pour la prise en charge du risque maladie ?</w:t>
      </w:r>
    </w:p>
    <w:p w14:paraId="5462CA2D" w14:textId="77777777" w:rsidR="00E5593B" w:rsidRPr="00695F64" w:rsidRDefault="00E5593B" w:rsidP="00E5593B">
      <w:pPr>
        <w:jc w:val="both"/>
        <w:rPr>
          <w:rFonts w:cs="Arial"/>
          <w:i/>
          <w:color w:val="E36C0A" w:themeColor="accent6" w:themeShade="BF"/>
          <w:szCs w:val="24"/>
        </w:rPr>
      </w:pPr>
      <w:r w:rsidRPr="00695F64">
        <w:rPr>
          <w:rFonts w:cs="Arial"/>
          <w:i/>
          <w:color w:val="E36C0A" w:themeColor="accent6" w:themeShade="BF"/>
          <w:szCs w:val="24"/>
        </w:rPr>
        <w:t>Indicateur 4.2.5 - « Contrat d’assurance statutaire pour la prise en charge du risque maladie »</w:t>
      </w:r>
    </w:p>
    <w:p w14:paraId="6CF3020D" w14:textId="77777777" w:rsidR="00E5593B" w:rsidRPr="00695F64" w:rsidRDefault="00E5593B" w:rsidP="00E5593B">
      <w:pPr>
        <w:jc w:val="both"/>
        <w:rPr>
          <w:color w:val="000000"/>
          <w:szCs w:val="24"/>
        </w:rPr>
      </w:pPr>
      <w:r w:rsidRPr="00695F64">
        <w:rPr>
          <w:color w:val="000000"/>
          <w:szCs w:val="24"/>
        </w:rPr>
        <w:t xml:space="preserve">En application </w:t>
      </w:r>
      <w:r>
        <w:t>des articles 611-1 à 634-4 du Code Général de la Fonction Publique</w:t>
      </w:r>
      <w:r w:rsidRPr="00722E0C">
        <w:rPr>
          <w:color w:val="000000"/>
          <w:szCs w:val="24"/>
        </w:rPr>
        <w:t>, la collectivité ou l’établissement verse des prestations</w:t>
      </w:r>
      <w:r w:rsidRPr="00695F64">
        <w:rPr>
          <w:color w:val="000000"/>
          <w:szCs w:val="24"/>
        </w:rPr>
        <w:t xml:space="preserve"> dues à l’agent (traitement, et/ ou frais médicaux) en cas de maladie, maternité et adoption, accident décès, paternité. Afin de compenser cette dépense, les collectivités peuvent souscrire à un contrat d'assurance les garantissant contre les risques financiers liés aux absences de leurs agents (titulaires ou stagiaires).</w:t>
      </w:r>
    </w:p>
    <w:p w14:paraId="41A2A788" w14:textId="77777777" w:rsidR="00E5593B" w:rsidRDefault="00E5593B" w:rsidP="00E5593B">
      <w:pPr>
        <w:jc w:val="both"/>
        <w:rPr>
          <w:b/>
          <w:color w:val="000000"/>
          <w:szCs w:val="24"/>
        </w:rPr>
      </w:pPr>
    </w:p>
    <w:p w14:paraId="1801DB29" w14:textId="77777777" w:rsidR="00E5593B" w:rsidRDefault="00E5593B" w:rsidP="00E5593B">
      <w:pPr>
        <w:jc w:val="both"/>
        <w:rPr>
          <w:rFonts w:cs="Arial"/>
          <w:b/>
          <w:color w:val="00B0F0"/>
          <w:szCs w:val="24"/>
        </w:rPr>
      </w:pPr>
      <w:r w:rsidRPr="007E27AF">
        <w:rPr>
          <w:b/>
          <w:color w:val="FF0000"/>
        </w:rPr>
        <w:t xml:space="preserve">Nouveauté RSU 2021 : </w:t>
      </w:r>
      <w:r w:rsidRPr="00655133">
        <w:rPr>
          <w:rFonts w:cs="Arial"/>
          <w:b/>
          <w:color w:val="00B0F0"/>
          <w:szCs w:val="24"/>
        </w:rPr>
        <w:t>Qu’entend-on par risques spéciaux ?</w:t>
      </w:r>
    </w:p>
    <w:p w14:paraId="599A9F85" w14:textId="216E2F50" w:rsidR="00E5593B" w:rsidRDefault="00E5593B" w:rsidP="00E5593B">
      <w:pPr>
        <w:jc w:val="both"/>
        <w:rPr>
          <w:rFonts w:cs="Arial"/>
          <w:i/>
          <w:color w:val="E36C0A" w:themeColor="accent6" w:themeShade="BF"/>
          <w:szCs w:val="24"/>
        </w:rPr>
      </w:pPr>
      <w:r w:rsidRPr="001133EE">
        <w:rPr>
          <w:rFonts w:cs="Arial"/>
          <w:i/>
          <w:color w:val="E36C0A" w:themeColor="accent6" w:themeShade="BF"/>
          <w:szCs w:val="24"/>
        </w:rPr>
        <w:t xml:space="preserve">Indicateur </w:t>
      </w:r>
      <w:r>
        <w:rPr>
          <w:rFonts w:cs="Arial"/>
          <w:i/>
          <w:color w:val="E36C0A" w:themeColor="accent6" w:themeShade="BF"/>
          <w:szCs w:val="24"/>
        </w:rPr>
        <w:t>4.2.6</w:t>
      </w:r>
      <w:r w:rsidRPr="0089439C">
        <w:rPr>
          <w:rFonts w:cs="Arial"/>
          <w:i/>
          <w:color w:val="E36C0A" w:themeColor="accent6" w:themeShade="BF"/>
          <w:szCs w:val="24"/>
        </w:rPr>
        <w:t xml:space="preserve"> </w:t>
      </w:r>
      <w:r>
        <w:rPr>
          <w:rFonts w:cs="Arial"/>
          <w:i/>
          <w:color w:val="E36C0A" w:themeColor="accent6" w:themeShade="BF"/>
          <w:szCs w:val="24"/>
        </w:rPr>
        <w:t>– « </w:t>
      </w:r>
      <w:r w:rsidRPr="00BC1142">
        <w:rPr>
          <w:rFonts w:cs="Arial"/>
          <w:i/>
          <w:color w:val="E36C0A" w:themeColor="accent6" w:themeShade="BF"/>
          <w:szCs w:val="24"/>
        </w:rPr>
        <w:t>d'agents bénéficiant d'une surveillance médicale particulière et nombre d'agents occupant des postes dans des services comportant des risques spéciaux</w:t>
      </w:r>
      <w:r>
        <w:rPr>
          <w:rFonts w:cs="Arial"/>
          <w:i/>
          <w:color w:val="E36C0A" w:themeColor="accent6" w:themeShade="BF"/>
          <w:szCs w:val="24"/>
        </w:rPr>
        <w:t xml:space="preserve"> »  </w:t>
      </w:r>
    </w:p>
    <w:p w14:paraId="1BE694D3" w14:textId="77777777" w:rsidR="00E5593B" w:rsidRDefault="00E5593B" w:rsidP="00E5593B">
      <w:pPr>
        <w:jc w:val="both"/>
      </w:pPr>
      <w:r w:rsidRPr="00F95B84">
        <w:t>Selon les dispositions de l’article</w:t>
      </w:r>
      <w:r>
        <w:t xml:space="preserve"> L. 4624-23 du code du travail, l</w:t>
      </w:r>
      <w:r w:rsidRPr="00F95B84">
        <w:t>es postes présentant des risques particuliers sont ceux exposant les travailleurs</w:t>
      </w:r>
      <w:r>
        <w:t> :</w:t>
      </w:r>
    </w:p>
    <w:p w14:paraId="77E81E84" w14:textId="77777777" w:rsidR="00E5593B" w:rsidRDefault="00E5593B" w:rsidP="00E5593B">
      <w:pPr>
        <w:jc w:val="both"/>
      </w:pPr>
      <w:r w:rsidRPr="00F95B84">
        <w:t xml:space="preserve">- A l'amiante </w:t>
      </w:r>
    </w:p>
    <w:p w14:paraId="1EE7B32E" w14:textId="77777777" w:rsidR="00E5593B" w:rsidRDefault="00E5593B" w:rsidP="00E5593B">
      <w:pPr>
        <w:jc w:val="both"/>
      </w:pPr>
      <w:r w:rsidRPr="00F95B84">
        <w:t xml:space="preserve">- Au plomb dans les conditions prévues à l'article R. 4412-160 du code du travail </w:t>
      </w:r>
    </w:p>
    <w:p w14:paraId="39D19DB0" w14:textId="77777777" w:rsidR="00E5593B" w:rsidRDefault="00E5593B" w:rsidP="00E5593B">
      <w:pPr>
        <w:jc w:val="both"/>
      </w:pPr>
      <w:r w:rsidRPr="00F95B84">
        <w:t xml:space="preserve">- Aux agents cancérogènes, mutagènes ou toxiques pour la reproduction, mentionnés à l'article R. 4412-60 </w:t>
      </w:r>
    </w:p>
    <w:p w14:paraId="399B48B2" w14:textId="77777777" w:rsidR="00E5593B" w:rsidRDefault="00E5593B" w:rsidP="00E5593B">
      <w:pPr>
        <w:jc w:val="both"/>
      </w:pPr>
      <w:r w:rsidRPr="00F95B84">
        <w:t xml:space="preserve">- Aux agents biologiques des groupes 3 et 4 mentionnés à l'article R. 4421-3 </w:t>
      </w:r>
    </w:p>
    <w:p w14:paraId="1540B3C0" w14:textId="77777777" w:rsidR="00E5593B" w:rsidRDefault="00E5593B" w:rsidP="00E5593B">
      <w:pPr>
        <w:jc w:val="both"/>
      </w:pPr>
      <w:r w:rsidRPr="00F95B84">
        <w:t>-</w:t>
      </w:r>
      <w:r>
        <w:t xml:space="preserve"> Aux rayonnements ionisants</w:t>
      </w:r>
    </w:p>
    <w:p w14:paraId="6E3C937B" w14:textId="77777777" w:rsidR="00E5593B" w:rsidRDefault="00E5593B" w:rsidP="00E5593B">
      <w:pPr>
        <w:jc w:val="both"/>
      </w:pPr>
      <w:r w:rsidRPr="00F95B84">
        <w:t xml:space="preserve">- Au risque hyperbare </w:t>
      </w:r>
    </w:p>
    <w:p w14:paraId="24F2C182" w14:textId="77777777" w:rsidR="00E5593B" w:rsidRPr="00F95B84" w:rsidRDefault="00E5593B" w:rsidP="00E5593B">
      <w:pPr>
        <w:jc w:val="both"/>
      </w:pPr>
      <w:r w:rsidRPr="00F95B84">
        <w:t>- Au risque de chute de hauteur lors des opérations de montage et de démontage d'échafaudages.</w:t>
      </w:r>
      <w:r w:rsidRPr="00F95B84">
        <w:br/>
        <w:t>- Présente également des risques particuliers tout poste pour lequel l'affectation sur celui-ci est conditionnée à un examen d'aptitude spécifique prévu par ce même code.</w:t>
      </w:r>
    </w:p>
    <w:p w14:paraId="0FF65A64" w14:textId="77777777" w:rsidR="00E5593B" w:rsidRPr="00F95B84" w:rsidRDefault="00E5593B" w:rsidP="00E5593B">
      <w:pPr>
        <w:jc w:val="both"/>
      </w:pPr>
    </w:p>
    <w:p w14:paraId="78F670B6" w14:textId="77777777" w:rsidR="00E5593B" w:rsidRDefault="00E5593B" w:rsidP="00E5593B">
      <w:pPr>
        <w:jc w:val="both"/>
      </w:pPr>
      <w:r w:rsidRPr="00F95B84">
        <w:t xml:space="preserve">S'il le juge nécessaire, l'employeur complète la liste des postes (...) par des postes présentant des risques particuliers pour la santé ou la sécurité du travailleur ou pour celles de ses collègues ou des tiers évoluant dans l'environnement immédiat de travail (...), après avis du ou des médecins concernés (...), en cohérence avec l'évaluation des risques prévue à l'article L. 4121-3 et, le cas échéant, la fiche d'entreprise prévue à l'article R. 4624-46. </w:t>
      </w:r>
    </w:p>
    <w:p w14:paraId="214EF3C6" w14:textId="77777777" w:rsidR="00E5593B" w:rsidRPr="00F95B84" w:rsidRDefault="00E5593B" w:rsidP="00E5593B">
      <w:pPr>
        <w:jc w:val="both"/>
      </w:pPr>
    </w:p>
    <w:p w14:paraId="6CEABDEE" w14:textId="77777777" w:rsidR="00E5593B" w:rsidRDefault="00E5593B" w:rsidP="00E5593B">
      <w:pPr>
        <w:jc w:val="both"/>
        <w:rPr>
          <w:rFonts w:cs="Arial"/>
          <w:b/>
          <w:color w:val="00B0F0"/>
          <w:szCs w:val="24"/>
        </w:rPr>
      </w:pPr>
      <w:r w:rsidRPr="007E27AF">
        <w:rPr>
          <w:b/>
          <w:color w:val="FF0000"/>
        </w:rPr>
        <w:t xml:space="preserve">Nouveauté RSU 2021 : </w:t>
      </w:r>
      <w:r>
        <w:rPr>
          <w:rFonts w:cs="Arial"/>
          <w:b/>
          <w:color w:val="00B0F0"/>
          <w:szCs w:val="24"/>
        </w:rPr>
        <w:t>Qu’est-ce que la protection fonctionnelle ?</w:t>
      </w:r>
    </w:p>
    <w:p w14:paraId="08E1DE34" w14:textId="1B19C9D6" w:rsidR="00E5593B" w:rsidRPr="001133EE" w:rsidRDefault="00E5593B" w:rsidP="00E5593B">
      <w:pPr>
        <w:jc w:val="both"/>
        <w:rPr>
          <w:rFonts w:cs="Arial"/>
          <w:i/>
          <w:color w:val="E36C0A" w:themeColor="accent6" w:themeShade="BF"/>
          <w:szCs w:val="24"/>
        </w:rPr>
      </w:pPr>
      <w:r w:rsidRPr="001133EE">
        <w:rPr>
          <w:rFonts w:cs="Arial"/>
          <w:i/>
          <w:color w:val="E36C0A" w:themeColor="accent6" w:themeShade="BF"/>
          <w:szCs w:val="24"/>
        </w:rPr>
        <w:t xml:space="preserve">Indicateur </w:t>
      </w:r>
      <w:r>
        <w:rPr>
          <w:rFonts w:cs="Arial"/>
          <w:i/>
          <w:color w:val="E36C0A" w:themeColor="accent6" w:themeShade="BF"/>
          <w:szCs w:val="24"/>
        </w:rPr>
        <w:t>4.2.7</w:t>
      </w:r>
      <w:r w:rsidRPr="0089439C">
        <w:rPr>
          <w:rFonts w:cs="Arial"/>
          <w:i/>
          <w:color w:val="E36C0A" w:themeColor="accent6" w:themeShade="BF"/>
          <w:szCs w:val="24"/>
        </w:rPr>
        <w:t xml:space="preserve"> </w:t>
      </w:r>
      <w:r>
        <w:rPr>
          <w:rFonts w:cs="Arial"/>
          <w:i/>
          <w:color w:val="E36C0A" w:themeColor="accent6" w:themeShade="BF"/>
          <w:szCs w:val="24"/>
        </w:rPr>
        <w:t xml:space="preserve">– « Nombre de demande de protection fonctionnelle (…) »  </w:t>
      </w:r>
    </w:p>
    <w:p w14:paraId="5C161B4C" w14:textId="77777777" w:rsidR="00E5593B" w:rsidRDefault="00E5593B" w:rsidP="00E5593B">
      <w:pPr>
        <w:jc w:val="both"/>
      </w:pPr>
      <w:r>
        <w:t>L'agent public bénéficie de la protection fonctionnelle s'il est victime d'une infraction à l'occasion ou en raison de ses fonctions. L'administration doit protéger l'agent, lui apporter une assistance juridique et réparer les préjudices qu'il a subis.</w:t>
      </w:r>
      <w:r w:rsidRPr="003956D3">
        <w:t xml:space="preserve"> </w:t>
      </w:r>
      <w:r>
        <w:t>La demande doit être formulée par écrit auprès de l'administration employeur à la date des faits en cause.</w:t>
      </w:r>
    </w:p>
    <w:p w14:paraId="57222B78" w14:textId="77777777" w:rsidR="00E5593B" w:rsidRPr="002E41E9" w:rsidRDefault="00E5593B" w:rsidP="00E5593B">
      <w:pPr>
        <w:jc w:val="both"/>
      </w:pPr>
    </w:p>
    <w:p w14:paraId="54EA73E8" w14:textId="77777777" w:rsidR="00E5593B" w:rsidRPr="002E41E9" w:rsidRDefault="00E5593B" w:rsidP="00E5593B">
      <w:pPr>
        <w:jc w:val="both"/>
      </w:pPr>
      <w:r w:rsidRPr="002E41E9">
        <w:t>Cette défense joue dans deux cas :</w:t>
      </w:r>
    </w:p>
    <w:p w14:paraId="416D78E7" w14:textId="77777777" w:rsidR="00E5593B" w:rsidRPr="002E41E9" w:rsidRDefault="00E5593B" w:rsidP="00E5593B">
      <w:pPr>
        <w:jc w:val="both"/>
      </w:pPr>
      <w:r>
        <w:t xml:space="preserve">- </w:t>
      </w:r>
      <w:r w:rsidRPr="002E41E9">
        <w:t>la mise en cause d’un agent devant une juridiction civile ou pénale d’une part ;</w:t>
      </w:r>
    </w:p>
    <w:p w14:paraId="1FC405CB" w14:textId="77777777" w:rsidR="00E5593B" w:rsidRDefault="00E5593B" w:rsidP="00E5593B">
      <w:pPr>
        <w:jc w:val="both"/>
      </w:pPr>
      <w:r>
        <w:t xml:space="preserve">- </w:t>
      </w:r>
      <w:r w:rsidRPr="002E41E9">
        <w:t>les attaques ou outrages infligés par un tiers à un agent public d’autre part.</w:t>
      </w:r>
    </w:p>
    <w:p w14:paraId="3E1F0859" w14:textId="77777777" w:rsidR="00E5593B" w:rsidRDefault="00E5593B" w:rsidP="00E5593B">
      <w:pPr>
        <w:jc w:val="both"/>
      </w:pPr>
    </w:p>
    <w:p w14:paraId="2C6B9ABA" w14:textId="77777777" w:rsidR="00E5593B" w:rsidRDefault="00E5593B" w:rsidP="00E5593B">
      <w:pPr>
        <w:jc w:val="both"/>
        <w:rPr>
          <w:rFonts w:cs="Arial"/>
          <w:b/>
          <w:color w:val="00B0F0"/>
          <w:szCs w:val="24"/>
        </w:rPr>
      </w:pPr>
      <w:r w:rsidRPr="007E27AF">
        <w:rPr>
          <w:b/>
          <w:color w:val="FF0000"/>
        </w:rPr>
        <w:t xml:space="preserve">Nouveauté RSU 2021 : </w:t>
      </w:r>
      <w:r>
        <w:rPr>
          <w:rFonts w:cs="Arial"/>
          <w:b/>
          <w:color w:val="00B0F0"/>
          <w:szCs w:val="24"/>
        </w:rPr>
        <w:t>Quelles différences entre les indicateurs 4.3.1 et l’indicateur 4.3.2 ?</w:t>
      </w:r>
    </w:p>
    <w:p w14:paraId="3B522F67" w14:textId="2B060803" w:rsidR="00E5593B" w:rsidRPr="001133EE" w:rsidRDefault="00E5593B" w:rsidP="00E5593B">
      <w:pPr>
        <w:jc w:val="both"/>
        <w:rPr>
          <w:rFonts w:cs="Arial"/>
          <w:i/>
          <w:color w:val="E36C0A" w:themeColor="accent6" w:themeShade="BF"/>
          <w:szCs w:val="24"/>
        </w:rPr>
      </w:pPr>
      <w:r w:rsidRPr="001133EE">
        <w:rPr>
          <w:rFonts w:cs="Arial"/>
          <w:i/>
          <w:color w:val="E36C0A" w:themeColor="accent6" w:themeShade="BF"/>
          <w:szCs w:val="24"/>
        </w:rPr>
        <w:t>Indicateur</w:t>
      </w:r>
      <w:r>
        <w:rPr>
          <w:rFonts w:cs="Arial"/>
          <w:i/>
          <w:color w:val="E36C0A" w:themeColor="accent6" w:themeShade="BF"/>
          <w:szCs w:val="24"/>
        </w:rPr>
        <w:t>s</w:t>
      </w:r>
      <w:r w:rsidRPr="001133EE">
        <w:rPr>
          <w:rFonts w:cs="Arial"/>
          <w:i/>
          <w:color w:val="E36C0A" w:themeColor="accent6" w:themeShade="BF"/>
          <w:szCs w:val="24"/>
        </w:rPr>
        <w:t xml:space="preserve"> </w:t>
      </w:r>
      <w:r>
        <w:rPr>
          <w:rFonts w:cs="Arial"/>
          <w:i/>
          <w:color w:val="E36C0A" w:themeColor="accent6" w:themeShade="BF"/>
          <w:szCs w:val="24"/>
        </w:rPr>
        <w:t>4.3.1</w:t>
      </w:r>
      <w:r w:rsidRPr="0089439C">
        <w:rPr>
          <w:rFonts w:cs="Arial"/>
          <w:i/>
          <w:color w:val="E36C0A" w:themeColor="accent6" w:themeShade="BF"/>
          <w:szCs w:val="24"/>
        </w:rPr>
        <w:t xml:space="preserve"> </w:t>
      </w:r>
      <w:r>
        <w:rPr>
          <w:rFonts w:cs="Arial"/>
          <w:i/>
          <w:color w:val="E36C0A" w:themeColor="accent6" w:themeShade="BF"/>
          <w:szCs w:val="24"/>
        </w:rPr>
        <w:t>– « Nombre de signalements (…) » et</w:t>
      </w:r>
      <w:r w:rsidRPr="0092786F">
        <w:rPr>
          <w:rFonts w:cs="Arial"/>
          <w:i/>
          <w:color w:val="E36C0A" w:themeColor="accent6" w:themeShade="BF"/>
          <w:szCs w:val="24"/>
        </w:rPr>
        <w:t xml:space="preserve"> </w:t>
      </w:r>
      <w:r w:rsidRPr="001133EE">
        <w:rPr>
          <w:rFonts w:cs="Arial"/>
          <w:i/>
          <w:color w:val="E36C0A" w:themeColor="accent6" w:themeShade="BF"/>
          <w:szCs w:val="24"/>
        </w:rPr>
        <w:t xml:space="preserve">Indicateur </w:t>
      </w:r>
      <w:r>
        <w:rPr>
          <w:rFonts w:cs="Arial"/>
          <w:i/>
          <w:color w:val="E36C0A" w:themeColor="accent6" w:themeShade="BF"/>
          <w:szCs w:val="24"/>
        </w:rPr>
        <w:t>4.3.2 « Modalités de mise en œuvre du dispositif de signalement »</w:t>
      </w:r>
    </w:p>
    <w:p w14:paraId="5AF16180" w14:textId="77777777" w:rsidR="00E5593B" w:rsidRPr="002E41E9" w:rsidRDefault="00E5593B" w:rsidP="00E5593B">
      <w:pPr>
        <w:jc w:val="both"/>
      </w:pPr>
      <w:r>
        <w:t>L’indicateur 4.3.2 correspond aux signalements auprès du nouveau dispositif de signalement obligatoire depuis le 1</w:t>
      </w:r>
      <w:r w:rsidRPr="0092786F">
        <w:rPr>
          <w:vertAlign w:val="superscript"/>
        </w:rPr>
        <w:t>er</w:t>
      </w:r>
      <w:r>
        <w:t xml:space="preserve"> mai 2020 tandis que les indicateurs 4.3.1 correspondent aux signalements auprès des ressources humaines de la collectivité. </w:t>
      </w:r>
    </w:p>
    <w:p w14:paraId="79365898" w14:textId="77777777" w:rsidR="00E5593B" w:rsidRDefault="00E5593B" w:rsidP="00E5593B">
      <w:pPr>
        <w:jc w:val="both"/>
      </w:pPr>
    </w:p>
    <w:p w14:paraId="34F1AB0B" w14:textId="77777777" w:rsidR="00E5593B" w:rsidRPr="00695F64" w:rsidRDefault="00E5593B" w:rsidP="00E5593B">
      <w:pPr>
        <w:jc w:val="both"/>
        <w:rPr>
          <w:rFonts w:cs="Arial"/>
          <w:b/>
          <w:color w:val="00B0F0"/>
          <w:szCs w:val="24"/>
        </w:rPr>
      </w:pPr>
      <w:r w:rsidRPr="00695F64">
        <w:rPr>
          <w:rFonts w:cs="Arial"/>
          <w:b/>
          <w:color w:val="00B0F0"/>
          <w:szCs w:val="24"/>
        </w:rPr>
        <w:t>Quels sont les actes de violence à prendre en compte dans l’indicateur 4.3.1 ?</w:t>
      </w:r>
    </w:p>
    <w:p w14:paraId="24BCF248" w14:textId="6A932BD9" w:rsidR="00E5593B" w:rsidRPr="00E13791" w:rsidRDefault="00E5593B" w:rsidP="00E5593B">
      <w:pPr>
        <w:jc w:val="both"/>
        <w:rPr>
          <w:rFonts w:cs="Arial"/>
          <w:i/>
          <w:color w:val="E36C0A" w:themeColor="accent6" w:themeShade="BF"/>
          <w:szCs w:val="24"/>
        </w:rPr>
      </w:pPr>
      <w:r w:rsidRPr="00695F64">
        <w:rPr>
          <w:rFonts w:cs="Arial"/>
          <w:i/>
          <w:color w:val="E36C0A" w:themeColor="accent6" w:themeShade="BF"/>
          <w:szCs w:val="24"/>
        </w:rPr>
        <w:lastRenderedPageBreak/>
        <w:t xml:space="preserve">Indicateur 4.3.1 - « Nombre d’actes de violences physiques et de signalements pour actes de violences sexuelles, agissements sexistes, harcèlement moral et harcèlement sexuel envers le personnel au cours de l’année </w:t>
      </w:r>
      <w:r>
        <w:rPr>
          <w:rFonts w:cs="Arial"/>
          <w:i/>
          <w:color w:val="E36C0A" w:themeColor="accent6" w:themeShade="BF"/>
          <w:szCs w:val="24"/>
        </w:rPr>
        <w:t>2021</w:t>
      </w:r>
      <w:r w:rsidRPr="00695F64">
        <w:rPr>
          <w:rFonts w:cs="Arial"/>
          <w:i/>
          <w:color w:val="E36C0A" w:themeColor="accent6" w:themeShade="BF"/>
          <w:szCs w:val="24"/>
        </w:rPr>
        <w:t> »</w:t>
      </w:r>
    </w:p>
    <w:p w14:paraId="7FA78B72" w14:textId="77777777" w:rsidR="00E5593B" w:rsidRDefault="00E5593B" w:rsidP="00E5593B">
      <w:pPr>
        <w:jc w:val="both"/>
        <w:rPr>
          <w:color w:val="000000"/>
          <w:szCs w:val="24"/>
        </w:rPr>
      </w:pPr>
      <w:r w:rsidRPr="00826B5D">
        <w:rPr>
          <w:color w:val="000000"/>
          <w:szCs w:val="24"/>
        </w:rPr>
        <w:t xml:space="preserve">Tous les faits de harcèlement moral ou sexuel déclarés en </w:t>
      </w:r>
      <w:r>
        <w:rPr>
          <w:color w:val="000000"/>
          <w:szCs w:val="24"/>
        </w:rPr>
        <w:t>DRH, qu'il</w:t>
      </w:r>
      <w:r w:rsidRPr="00826B5D">
        <w:rPr>
          <w:color w:val="000000"/>
          <w:szCs w:val="24"/>
        </w:rPr>
        <w:t xml:space="preserve"> y ait ou non une instruction judiciaire, doivent être comptabilisés.</w:t>
      </w:r>
    </w:p>
    <w:p w14:paraId="599D85B4" w14:textId="77777777" w:rsidR="00E5593B" w:rsidRPr="00695F64" w:rsidRDefault="00E5593B" w:rsidP="00E5593B">
      <w:pPr>
        <w:jc w:val="both"/>
        <w:rPr>
          <w:color w:val="000000"/>
          <w:szCs w:val="24"/>
        </w:rPr>
      </w:pPr>
    </w:p>
    <w:p w14:paraId="0B1F3CCF" w14:textId="77777777" w:rsidR="00E5593B" w:rsidRPr="00100CD6" w:rsidRDefault="00E5593B" w:rsidP="00E5593B">
      <w:pPr>
        <w:jc w:val="both"/>
        <w:rPr>
          <w:color w:val="000000"/>
          <w:szCs w:val="24"/>
        </w:rPr>
      </w:pPr>
      <w:r>
        <w:rPr>
          <w:color w:val="000000"/>
          <w:szCs w:val="24"/>
        </w:rPr>
        <w:t>Sept</w:t>
      </w:r>
      <w:r w:rsidRPr="00695F64">
        <w:rPr>
          <w:color w:val="000000"/>
          <w:szCs w:val="24"/>
        </w:rPr>
        <w:t xml:space="preserve"> types de violence sont dorénavant distingués : les violences physiques (</w:t>
      </w:r>
      <w:r>
        <w:rPr>
          <w:color w:val="000000"/>
          <w:szCs w:val="24"/>
        </w:rPr>
        <w:t>hors</w:t>
      </w:r>
      <w:r w:rsidRPr="00695F64">
        <w:rPr>
          <w:color w:val="000000"/>
          <w:szCs w:val="24"/>
        </w:rPr>
        <w:t xml:space="preserve"> violence</w:t>
      </w:r>
      <w:r>
        <w:rPr>
          <w:color w:val="000000"/>
          <w:szCs w:val="24"/>
        </w:rPr>
        <w:t>s</w:t>
      </w:r>
      <w:r w:rsidRPr="00695F64">
        <w:rPr>
          <w:color w:val="000000"/>
          <w:szCs w:val="24"/>
        </w:rPr>
        <w:t xml:space="preserve"> sexuelle</w:t>
      </w:r>
      <w:r>
        <w:rPr>
          <w:color w:val="000000"/>
          <w:szCs w:val="24"/>
        </w:rPr>
        <w:t>s</w:t>
      </w:r>
      <w:r w:rsidRPr="00695F64">
        <w:rPr>
          <w:color w:val="000000"/>
          <w:szCs w:val="24"/>
        </w:rPr>
        <w:t xml:space="preserve">), </w:t>
      </w:r>
      <w:r>
        <w:rPr>
          <w:color w:val="000000"/>
          <w:szCs w:val="24"/>
        </w:rPr>
        <w:t xml:space="preserve">les violences sexuelles, </w:t>
      </w:r>
      <w:r w:rsidRPr="00695F64">
        <w:rPr>
          <w:color w:val="000000"/>
          <w:szCs w:val="24"/>
        </w:rPr>
        <w:t>le harcèlement moral, le harcèlement sexuel</w:t>
      </w:r>
      <w:r>
        <w:rPr>
          <w:color w:val="000000"/>
          <w:szCs w:val="24"/>
        </w:rPr>
        <w:t>,</w:t>
      </w:r>
      <w:r w:rsidRPr="00695F64">
        <w:rPr>
          <w:color w:val="000000"/>
          <w:szCs w:val="24"/>
        </w:rPr>
        <w:t xml:space="preserve"> les agissements sexistes</w:t>
      </w:r>
      <w:r>
        <w:rPr>
          <w:color w:val="000000"/>
          <w:szCs w:val="24"/>
        </w:rPr>
        <w:t>, les actes de discrimination et les menaces/actes d’intimidation</w:t>
      </w:r>
      <w:r w:rsidRPr="00695F64">
        <w:rPr>
          <w:color w:val="000000"/>
          <w:szCs w:val="24"/>
        </w:rPr>
        <w:t>. Pour plus de clarté, vous trouverez ci-dessous des définitions</w:t>
      </w:r>
      <w:r>
        <w:rPr>
          <w:color w:val="000000"/>
          <w:szCs w:val="24"/>
        </w:rPr>
        <w:t xml:space="preserve"> notamment</w:t>
      </w:r>
      <w:r w:rsidRPr="00695F64">
        <w:rPr>
          <w:color w:val="000000"/>
          <w:szCs w:val="24"/>
        </w:rPr>
        <w:t xml:space="preserve"> illustrées d’exemples de ces notions provenant des travaux du </w:t>
      </w:r>
      <w:hyperlink r:id="rId16" w:history="1">
        <w:r w:rsidRPr="00695F64">
          <w:rPr>
            <w:rStyle w:val="Lienhypertexte"/>
            <w:szCs w:val="24"/>
          </w:rPr>
          <w:t xml:space="preserve">Centre </w:t>
        </w:r>
        <w:proofErr w:type="spellStart"/>
        <w:r w:rsidRPr="00695F64">
          <w:rPr>
            <w:rStyle w:val="Lienhypertexte"/>
            <w:szCs w:val="24"/>
          </w:rPr>
          <w:t>Hubertine</w:t>
        </w:r>
        <w:proofErr w:type="spellEnd"/>
        <w:r w:rsidRPr="00695F64">
          <w:rPr>
            <w:rStyle w:val="Lienhypertexte"/>
            <w:szCs w:val="24"/>
          </w:rPr>
          <w:t xml:space="preserve"> </w:t>
        </w:r>
        <w:proofErr w:type="spellStart"/>
        <w:r w:rsidRPr="00695F64">
          <w:rPr>
            <w:rStyle w:val="Lienhypertexte"/>
            <w:szCs w:val="24"/>
          </w:rPr>
          <w:t>Auclert</w:t>
        </w:r>
        <w:proofErr w:type="spellEnd"/>
      </w:hyperlink>
      <w:r w:rsidRPr="00695F64">
        <w:rPr>
          <w:rStyle w:val="Appelnotedebasdep"/>
          <w:color w:val="000000"/>
          <w:szCs w:val="24"/>
        </w:rPr>
        <w:footnoteReference w:id="1"/>
      </w:r>
      <w:r w:rsidRPr="00695F64">
        <w:rPr>
          <w:color w:val="000000"/>
          <w:szCs w:val="24"/>
        </w:rPr>
        <w:t>, association œuvrant pour l’égalité femmes-hommes.</w:t>
      </w:r>
      <w:r w:rsidRPr="00100CD6">
        <w:rPr>
          <w:color w:val="000000"/>
          <w:szCs w:val="24"/>
        </w:rPr>
        <w:t xml:space="preserve"> </w:t>
      </w:r>
    </w:p>
    <w:p w14:paraId="486C92B0" w14:textId="77777777" w:rsidR="00E5593B" w:rsidRDefault="00E5593B" w:rsidP="00E5593B">
      <w:pPr>
        <w:jc w:val="both"/>
        <w:rPr>
          <w:color w:val="000000"/>
          <w:szCs w:val="24"/>
        </w:rPr>
      </w:pPr>
    </w:p>
    <w:p w14:paraId="08443A57" w14:textId="77777777" w:rsidR="00E5593B" w:rsidRPr="00B32767" w:rsidRDefault="00E5593B" w:rsidP="00E5593B">
      <w:pPr>
        <w:jc w:val="both"/>
        <w:rPr>
          <w:color w:val="000000"/>
          <w:szCs w:val="24"/>
        </w:rPr>
      </w:pPr>
      <w:r w:rsidRPr="00B32767">
        <w:rPr>
          <w:color w:val="000000"/>
          <w:szCs w:val="24"/>
        </w:rPr>
        <w:t xml:space="preserve">Le </w:t>
      </w:r>
      <w:r>
        <w:rPr>
          <w:color w:val="000000"/>
          <w:szCs w:val="24"/>
        </w:rPr>
        <w:t xml:space="preserve">premier </w:t>
      </w:r>
      <w:r w:rsidRPr="00B32767">
        <w:rPr>
          <w:color w:val="000000"/>
          <w:szCs w:val="24"/>
        </w:rPr>
        <w:t xml:space="preserve">tableau sur </w:t>
      </w:r>
      <w:r w:rsidRPr="00C22537">
        <w:rPr>
          <w:b/>
          <w:color w:val="000000"/>
          <w:szCs w:val="24"/>
        </w:rPr>
        <w:t>les actes de violence physique</w:t>
      </w:r>
      <w:r w:rsidRPr="00B32767">
        <w:rPr>
          <w:color w:val="000000"/>
          <w:szCs w:val="24"/>
        </w:rPr>
        <w:t xml:space="preserve"> (définis comme portant atteinte à l’intégrité physique de l’individu) comprenant aussi les violences sexuelles, vous devez également y renseigner </w:t>
      </w:r>
      <w:r w:rsidRPr="00B32767">
        <w:rPr>
          <w:b/>
          <w:bCs/>
          <w:color w:val="000000"/>
          <w:szCs w:val="24"/>
        </w:rPr>
        <w:t xml:space="preserve">les agressions sexuelles </w:t>
      </w:r>
      <w:r w:rsidRPr="00B32767">
        <w:rPr>
          <w:color w:val="000000"/>
          <w:szCs w:val="24"/>
        </w:rPr>
        <w:t xml:space="preserve">et </w:t>
      </w:r>
      <w:r w:rsidRPr="00B32767">
        <w:rPr>
          <w:b/>
          <w:bCs/>
          <w:color w:val="000000"/>
          <w:szCs w:val="24"/>
        </w:rPr>
        <w:t>les viols</w:t>
      </w:r>
      <w:r w:rsidRPr="00B32767">
        <w:rPr>
          <w:color w:val="000000"/>
          <w:szCs w:val="24"/>
        </w:rPr>
        <w:t xml:space="preserve">. </w:t>
      </w:r>
    </w:p>
    <w:p w14:paraId="3C7ECB43" w14:textId="77777777" w:rsidR="00E5593B" w:rsidRPr="00100CD6" w:rsidRDefault="00E5593B" w:rsidP="00E5593B">
      <w:pPr>
        <w:jc w:val="both"/>
        <w:rPr>
          <w:color w:val="000000"/>
          <w:szCs w:val="24"/>
        </w:rPr>
      </w:pPr>
    </w:p>
    <w:tbl>
      <w:tblPr>
        <w:tblStyle w:val="Grilledutableau"/>
        <w:tblW w:w="9889" w:type="dxa"/>
        <w:tblLook w:val="04A0" w:firstRow="1" w:lastRow="0" w:firstColumn="1" w:lastColumn="0" w:noHBand="0" w:noVBand="1"/>
      </w:tblPr>
      <w:tblGrid>
        <w:gridCol w:w="1964"/>
        <w:gridCol w:w="2381"/>
        <w:gridCol w:w="2568"/>
        <w:gridCol w:w="2976"/>
      </w:tblGrid>
      <w:tr w:rsidR="00E5593B" w:rsidRPr="00B32767" w14:paraId="27BBC338" w14:textId="77777777" w:rsidTr="001B1BEE">
        <w:tc>
          <w:tcPr>
            <w:tcW w:w="1964" w:type="dxa"/>
          </w:tcPr>
          <w:p w14:paraId="674890E5" w14:textId="77777777" w:rsidR="00E5593B" w:rsidRPr="00B32767" w:rsidRDefault="00E5593B" w:rsidP="001B1BEE">
            <w:pPr>
              <w:rPr>
                <w:b/>
                <w:bCs/>
                <w:iCs/>
              </w:rPr>
            </w:pPr>
            <w:r w:rsidRPr="00B32767">
              <w:rPr>
                <w:b/>
                <w:bCs/>
                <w:iCs/>
              </w:rPr>
              <w:t>Définitions</w:t>
            </w:r>
          </w:p>
        </w:tc>
        <w:tc>
          <w:tcPr>
            <w:tcW w:w="2381" w:type="dxa"/>
          </w:tcPr>
          <w:p w14:paraId="65EB8CF0" w14:textId="77777777" w:rsidR="00E5593B" w:rsidRPr="00B32767" w:rsidRDefault="00E5593B" w:rsidP="001B1BEE">
            <w:pPr>
              <w:rPr>
                <w:b/>
              </w:rPr>
            </w:pPr>
            <w:r w:rsidRPr="00B32767">
              <w:rPr>
                <w:b/>
              </w:rPr>
              <w:t>Exemples de situation</w:t>
            </w:r>
          </w:p>
        </w:tc>
        <w:tc>
          <w:tcPr>
            <w:tcW w:w="2568" w:type="dxa"/>
          </w:tcPr>
          <w:p w14:paraId="188AB4AC" w14:textId="77777777" w:rsidR="00E5593B" w:rsidRPr="00B32767" w:rsidRDefault="00E5593B" w:rsidP="001B1BEE">
            <w:pPr>
              <w:rPr>
                <w:b/>
              </w:rPr>
            </w:pPr>
            <w:r w:rsidRPr="00B32767">
              <w:rPr>
                <w:b/>
              </w:rPr>
              <w:t>Qualification</w:t>
            </w:r>
          </w:p>
        </w:tc>
        <w:tc>
          <w:tcPr>
            <w:tcW w:w="2976" w:type="dxa"/>
          </w:tcPr>
          <w:p w14:paraId="1C41EA07" w14:textId="77777777" w:rsidR="00E5593B" w:rsidRPr="00B32767" w:rsidRDefault="00E5593B" w:rsidP="001B1BEE">
            <w:pPr>
              <w:rPr>
                <w:b/>
              </w:rPr>
            </w:pPr>
            <w:r w:rsidRPr="00B32767">
              <w:rPr>
                <w:b/>
              </w:rPr>
              <w:t>Textes de loi</w:t>
            </w:r>
          </w:p>
        </w:tc>
      </w:tr>
      <w:tr w:rsidR="00E5593B" w:rsidRPr="00B32767" w14:paraId="4387A8D8" w14:textId="77777777" w:rsidTr="001B1BEE">
        <w:tc>
          <w:tcPr>
            <w:tcW w:w="1964" w:type="dxa"/>
          </w:tcPr>
          <w:p w14:paraId="693D096B" w14:textId="77777777" w:rsidR="00E5593B" w:rsidRPr="00B32767" w:rsidRDefault="00E5593B" w:rsidP="001B1BEE">
            <w:pPr>
              <w:rPr>
                <w:b/>
                <w:bCs/>
                <w:iCs/>
              </w:rPr>
            </w:pPr>
            <w:r w:rsidRPr="00B32767">
              <w:rPr>
                <w:b/>
                <w:bCs/>
                <w:iCs/>
              </w:rPr>
              <w:t>Agression sexuelle</w:t>
            </w:r>
          </w:p>
        </w:tc>
        <w:tc>
          <w:tcPr>
            <w:tcW w:w="2381" w:type="dxa"/>
          </w:tcPr>
          <w:p w14:paraId="659F320C" w14:textId="77777777" w:rsidR="00E5593B" w:rsidRPr="00B32767" w:rsidRDefault="00E5593B" w:rsidP="001B1BEE">
            <w:pPr>
              <w:rPr>
                <w:b/>
                <w:bCs/>
                <w:i/>
                <w:iCs/>
              </w:rPr>
            </w:pPr>
            <w:r w:rsidRPr="00B32767">
              <w:rPr>
                <w:b/>
                <w:bCs/>
                <w:i/>
                <w:iCs/>
              </w:rPr>
              <w:t>Lors d’un trajet en voiture pour une réunion,</w:t>
            </w:r>
          </w:p>
          <w:p w14:paraId="274FF0F2" w14:textId="77777777" w:rsidR="00E5593B" w:rsidRPr="00B32767" w:rsidRDefault="00E5593B" w:rsidP="001B1BEE">
            <w:pPr>
              <w:rPr>
                <w:b/>
                <w:bCs/>
                <w:i/>
                <w:iCs/>
              </w:rPr>
            </w:pPr>
            <w:proofErr w:type="gramStart"/>
            <w:r w:rsidRPr="00B32767">
              <w:rPr>
                <w:b/>
                <w:bCs/>
                <w:i/>
                <w:iCs/>
              </w:rPr>
              <w:t>un</w:t>
            </w:r>
            <w:proofErr w:type="gramEnd"/>
            <w:r w:rsidRPr="00B32767">
              <w:rPr>
                <w:b/>
                <w:bCs/>
                <w:i/>
                <w:iCs/>
              </w:rPr>
              <w:t xml:space="preserve"> collègue a mis une main sur les cuisses</w:t>
            </w:r>
          </w:p>
          <w:p w14:paraId="40DB2DAF" w14:textId="77777777" w:rsidR="00E5593B" w:rsidRPr="00B32767" w:rsidRDefault="00E5593B" w:rsidP="001B1BEE">
            <w:proofErr w:type="gramStart"/>
            <w:r w:rsidRPr="00B32767">
              <w:rPr>
                <w:b/>
                <w:bCs/>
                <w:i/>
                <w:iCs/>
              </w:rPr>
              <w:t>d’une</w:t>
            </w:r>
            <w:proofErr w:type="gramEnd"/>
            <w:r w:rsidRPr="00B32767">
              <w:rPr>
                <w:b/>
                <w:bCs/>
                <w:i/>
                <w:iCs/>
              </w:rPr>
              <w:t xml:space="preserve"> autre collègue.</w:t>
            </w:r>
          </w:p>
        </w:tc>
        <w:tc>
          <w:tcPr>
            <w:tcW w:w="2568" w:type="dxa"/>
          </w:tcPr>
          <w:p w14:paraId="33746E23" w14:textId="77777777" w:rsidR="00E5593B" w:rsidRPr="00B32767" w:rsidRDefault="00E5593B" w:rsidP="001B1BEE">
            <w:pPr>
              <w:rPr>
                <w:b/>
                <w:bCs/>
              </w:rPr>
            </w:pPr>
            <w:r w:rsidRPr="00B32767">
              <w:t xml:space="preserve">Il s’agit d’un </w:t>
            </w:r>
            <w:r w:rsidRPr="00B32767">
              <w:rPr>
                <w:b/>
                <w:bCs/>
              </w:rPr>
              <w:t>acte unique.</w:t>
            </w:r>
          </w:p>
          <w:p w14:paraId="14B20D35" w14:textId="77777777" w:rsidR="00E5593B" w:rsidRPr="00B32767" w:rsidRDefault="00E5593B" w:rsidP="001B1BEE">
            <w:r w:rsidRPr="00B32767">
              <w:t>Il s’agit d’</w:t>
            </w:r>
            <w:r w:rsidRPr="00B32767">
              <w:rPr>
                <w:b/>
                <w:bCs/>
              </w:rPr>
              <w:t xml:space="preserve">attouchements </w:t>
            </w:r>
            <w:r w:rsidRPr="00B32767">
              <w:t>sur une des parties du corps</w:t>
            </w:r>
          </w:p>
          <w:p w14:paraId="0DB17197" w14:textId="77777777" w:rsidR="00E5593B" w:rsidRPr="00B32767" w:rsidRDefault="00E5593B" w:rsidP="001B1BEE">
            <w:proofErr w:type="gramStart"/>
            <w:r w:rsidRPr="00B32767">
              <w:t>considérées</w:t>
            </w:r>
            <w:proofErr w:type="gramEnd"/>
            <w:r w:rsidRPr="00B32767">
              <w:t xml:space="preserve"> comme intimes et sexuelles (les seins, les</w:t>
            </w:r>
          </w:p>
          <w:p w14:paraId="6B5F5E55" w14:textId="77777777" w:rsidR="00E5593B" w:rsidRPr="00B32767" w:rsidRDefault="00E5593B" w:rsidP="001B1BEE">
            <w:proofErr w:type="gramStart"/>
            <w:r w:rsidRPr="00B32767">
              <w:t>cuisses</w:t>
            </w:r>
            <w:proofErr w:type="gramEnd"/>
            <w:r w:rsidRPr="00B32767">
              <w:t>, la bouche, les fesses et le sexe) commis avec</w:t>
            </w:r>
          </w:p>
          <w:p w14:paraId="44B2D0B9" w14:textId="77777777" w:rsidR="00E5593B" w:rsidRPr="00B32767" w:rsidRDefault="00E5593B" w:rsidP="001B1BEE">
            <w:proofErr w:type="gramStart"/>
            <w:r w:rsidRPr="00B32767">
              <w:t>violence</w:t>
            </w:r>
            <w:proofErr w:type="gramEnd"/>
            <w:r w:rsidRPr="00B32767">
              <w:t>, contrainte, menace ou surprise.</w:t>
            </w:r>
          </w:p>
        </w:tc>
        <w:tc>
          <w:tcPr>
            <w:tcW w:w="2976" w:type="dxa"/>
          </w:tcPr>
          <w:p w14:paraId="1AFE2E23" w14:textId="77777777" w:rsidR="00E5593B" w:rsidRPr="00B32767" w:rsidRDefault="00E5593B" w:rsidP="001B1BEE">
            <w:r w:rsidRPr="00B32767">
              <w:t>« Constitue une agression sexuelle toute atteinte sexuelle commise avec violence,</w:t>
            </w:r>
          </w:p>
          <w:p w14:paraId="243CC1E5" w14:textId="77777777" w:rsidR="00E5593B" w:rsidRPr="00B32767" w:rsidRDefault="00E5593B" w:rsidP="001B1BEE">
            <w:proofErr w:type="gramStart"/>
            <w:r w:rsidRPr="00B32767">
              <w:t>contrainte</w:t>
            </w:r>
            <w:proofErr w:type="gramEnd"/>
            <w:r w:rsidRPr="00B32767">
              <w:t>, menace ou surprise. »</w:t>
            </w:r>
          </w:p>
          <w:p w14:paraId="49E7251D" w14:textId="77777777" w:rsidR="00E5593B" w:rsidRPr="00B32767" w:rsidRDefault="00E5593B" w:rsidP="001B1BEE">
            <w:r w:rsidRPr="00B32767">
              <w:t>(Art. 222-22 du Code Pénal)</w:t>
            </w:r>
          </w:p>
        </w:tc>
      </w:tr>
      <w:tr w:rsidR="00E5593B" w:rsidRPr="00B32767" w14:paraId="0C44388E" w14:textId="77777777" w:rsidTr="001B1BEE">
        <w:tc>
          <w:tcPr>
            <w:tcW w:w="1964" w:type="dxa"/>
          </w:tcPr>
          <w:p w14:paraId="4665421B" w14:textId="77777777" w:rsidR="00E5593B" w:rsidRPr="00B32767" w:rsidRDefault="00E5593B" w:rsidP="001B1BEE">
            <w:pPr>
              <w:rPr>
                <w:b/>
                <w:bCs/>
                <w:iCs/>
              </w:rPr>
            </w:pPr>
            <w:r w:rsidRPr="00B32767">
              <w:rPr>
                <w:b/>
                <w:bCs/>
                <w:iCs/>
              </w:rPr>
              <w:t>Viol</w:t>
            </w:r>
          </w:p>
        </w:tc>
        <w:tc>
          <w:tcPr>
            <w:tcW w:w="2381" w:type="dxa"/>
          </w:tcPr>
          <w:p w14:paraId="35A5E545" w14:textId="77777777" w:rsidR="00E5593B" w:rsidRPr="00B32767" w:rsidRDefault="00E5593B" w:rsidP="001B1BEE">
            <w:pPr>
              <w:rPr>
                <w:b/>
                <w:bCs/>
                <w:i/>
                <w:iCs/>
              </w:rPr>
            </w:pPr>
            <w:r w:rsidRPr="00B32767">
              <w:rPr>
                <w:b/>
                <w:bCs/>
                <w:i/>
                <w:iCs/>
              </w:rPr>
              <w:t>Une agente a subi un acte de pénétration sexuelle</w:t>
            </w:r>
          </w:p>
          <w:p w14:paraId="38594B47" w14:textId="77777777" w:rsidR="00E5593B" w:rsidRPr="00B32767" w:rsidRDefault="00E5593B" w:rsidP="001B1BEE">
            <w:proofErr w:type="gramStart"/>
            <w:r w:rsidRPr="00B32767">
              <w:rPr>
                <w:b/>
                <w:bCs/>
                <w:i/>
                <w:iCs/>
              </w:rPr>
              <w:t>sur</w:t>
            </w:r>
            <w:proofErr w:type="gramEnd"/>
            <w:r w:rsidRPr="00B32767">
              <w:rPr>
                <w:b/>
                <w:bCs/>
                <w:i/>
                <w:iCs/>
              </w:rPr>
              <w:t xml:space="preserve"> son lieu de travail.</w:t>
            </w:r>
          </w:p>
        </w:tc>
        <w:tc>
          <w:tcPr>
            <w:tcW w:w="2568" w:type="dxa"/>
          </w:tcPr>
          <w:p w14:paraId="54A9BA02" w14:textId="77777777" w:rsidR="00E5593B" w:rsidRPr="00B32767" w:rsidRDefault="00E5593B" w:rsidP="001B1BEE">
            <w:r w:rsidRPr="00B32767">
              <w:t xml:space="preserve">Un acte de </w:t>
            </w:r>
            <w:r w:rsidRPr="00B32767">
              <w:rPr>
                <w:b/>
                <w:bCs/>
              </w:rPr>
              <w:t xml:space="preserve">pénétration sexuelle </w:t>
            </w:r>
            <w:r w:rsidRPr="00B32767">
              <w:t>de quelque nature</w:t>
            </w:r>
          </w:p>
          <w:p w14:paraId="0E51C90E" w14:textId="77777777" w:rsidR="00E5593B" w:rsidRPr="00B32767" w:rsidRDefault="00E5593B" w:rsidP="001B1BEE">
            <w:proofErr w:type="gramStart"/>
            <w:r w:rsidRPr="00B32767">
              <w:t>qu’il</w:t>
            </w:r>
            <w:proofErr w:type="gramEnd"/>
            <w:r w:rsidRPr="00B32767">
              <w:t xml:space="preserve"> soit (parties génitales, bouche, avec doigts, etc.)</w:t>
            </w:r>
          </w:p>
          <w:p w14:paraId="729AC7E5" w14:textId="77777777" w:rsidR="00E5593B" w:rsidRPr="00B32767" w:rsidRDefault="00E5593B" w:rsidP="001B1BEE">
            <w:proofErr w:type="gramStart"/>
            <w:r w:rsidRPr="00B32767">
              <w:t>commis</w:t>
            </w:r>
            <w:proofErr w:type="gramEnd"/>
            <w:r w:rsidRPr="00B32767">
              <w:t xml:space="preserve"> avec violence, contrainte, menace ou surprise.</w:t>
            </w:r>
          </w:p>
        </w:tc>
        <w:tc>
          <w:tcPr>
            <w:tcW w:w="2976" w:type="dxa"/>
          </w:tcPr>
          <w:p w14:paraId="36F383AB" w14:textId="77777777" w:rsidR="00E5593B" w:rsidRPr="00B32767" w:rsidRDefault="00E5593B" w:rsidP="001B1BEE">
            <w:r w:rsidRPr="00B32767">
              <w:t>« Tout acte de pénétration sexuelle, de quelque nature qu’il soit, commis sur la personne</w:t>
            </w:r>
          </w:p>
          <w:p w14:paraId="370F0B1E" w14:textId="77777777" w:rsidR="00E5593B" w:rsidRPr="00B32767" w:rsidRDefault="00E5593B" w:rsidP="001B1BEE">
            <w:proofErr w:type="gramStart"/>
            <w:r w:rsidRPr="00B32767">
              <w:t>d’autrui</w:t>
            </w:r>
            <w:proofErr w:type="gramEnd"/>
            <w:r w:rsidRPr="00B32767">
              <w:t xml:space="preserve"> ou sur la personne de l’auteur par violence, contrainte, menace ou surprise. »</w:t>
            </w:r>
          </w:p>
          <w:p w14:paraId="572A4920" w14:textId="77777777" w:rsidR="00E5593B" w:rsidRPr="00B32767" w:rsidRDefault="00E5593B" w:rsidP="001B1BEE">
            <w:r w:rsidRPr="00B32767">
              <w:t>(Art. 222-23 du Code Pénal)</w:t>
            </w:r>
          </w:p>
        </w:tc>
      </w:tr>
    </w:tbl>
    <w:p w14:paraId="303A5097" w14:textId="77777777" w:rsidR="00E5593B" w:rsidRDefault="00E5593B" w:rsidP="00E5593B">
      <w:pPr>
        <w:rPr>
          <w:b/>
          <w:u w:val="single"/>
        </w:rPr>
      </w:pPr>
    </w:p>
    <w:p w14:paraId="483282C0" w14:textId="77777777" w:rsidR="00E5593B" w:rsidRDefault="00E5593B" w:rsidP="00E5593B">
      <w:pPr>
        <w:rPr>
          <w:b/>
          <w:u w:val="single"/>
        </w:rPr>
      </w:pPr>
    </w:p>
    <w:p w14:paraId="54CEEE0B" w14:textId="77777777" w:rsidR="00E5593B" w:rsidRDefault="00E5593B" w:rsidP="00E5593B">
      <w:pPr>
        <w:rPr>
          <w:b/>
          <w:u w:val="single"/>
        </w:rPr>
      </w:pPr>
      <w:r w:rsidRPr="00B26E50">
        <w:t xml:space="preserve">Le </w:t>
      </w:r>
      <w:r>
        <w:t>deuxième</w:t>
      </w:r>
      <w:r w:rsidRPr="00B26E50">
        <w:t xml:space="preserve"> tableau est consacré au </w:t>
      </w:r>
      <w:r w:rsidRPr="00E36886">
        <w:rPr>
          <w:b/>
        </w:rPr>
        <w:t>harcèlement sexuel</w:t>
      </w:r>
      <w:r w:rsidRPr="00B26E50">
        <w:t>.</w:t>
      </w:r>
    </w:p>
    <w:p w14:paraId="218F0439" w14:textId="77777777" w:rsidR="00E5593B" w:rsidRDefault="00E5593B" w:rsidP="00E5593B">
      <w:pPr>
        <w:jc w:val="both"/>
        <w:rPr>
          <w:color w:val="000000"/>
          <w:szCs w:val="24"/>
        </w:rPr>
      </w:pPr>
    </w:p>
    <w:tbl>
      <w:tblPr>
        <w:tblStyle w:val="Grilledutableau"/>
        <w:tblW w:w="0" w:type="auto"/>
        <w:tblLook w:val="04A0" w:firstRow="1" w:lastRow="0" w:firstColumn="1" w:lastColumn="0" w:noHBand="0" w:noVBand="1"/>
      </w:tblPr>
      <w:tblGrid>
        <w:gridCol w:w="3036"/>
        <w:gridCol w:w="3035"/>
        <w:gridCol w:w="3557"/>
      </w:tblGrid>
      <w:tr w:rsidR="00E5593B" w14:paraId="3955A342" w14:textId="77777777" w:rsidTr="001B1BEE">
        <w:tc>
          <w:tcPr>
            <w:tcW w:w="3070" w:type="dxa"/>
          </w:tcPr>
          <w:p w14:paraId="06A1CB96" w14:textId="77777777" w:rsidR="00E5593B" w:rsidRPr="00C62FFA" w:rsidRDefault="00E5593B" w:rsidP="001B1BEE">
            <w:pPr>
              <w:rPr>
                <w:b/>
              </w:rPr>
            </w:pPr>
            <w:r w:rsidRPr="00C62FFA">
              <w:rPr>
                <w:b/>
              </w:rPr>
              <w:t>Exemples de situation</w:t>
            </w:r>
          </w:p>
        </w:tc>
        <w:tc>
          <w:tcPr>
            <w:tcW w:w="3071" w:type="dxa"/>
          </w:tcPr>
          <w:p w14:paraId="080BFAE9" w14:textId="77777777" w:rsidR="00E5593B" w:rsidRPr="00C62FFA" w:rsidRDefault="00E5593B" w:rsidP="001B1BEE">
            <w:pPr>
              <w:rPr>
                <w:b/>
              </w:rPr>
            </w:pPr>
            <w:r w:rsidRPr="00C62FFA">
              <w:rPr>
                <w:b/>
              </w:rPr>
              <w:t>Qualification</w:t>
            </w:r>
          </w:p>
        </w:tc>
        <w:tc>
          <w:tcPr>
            <w:tcW w:w="3606" w:type="dxa"/>
          </w:tcPr>
          <w:p w14:paraId="4EA55FB6" w14:textId="77777777" w:rsidR="00E5593B" w:rsidRPr="00C62FFA" w:rsidRDefault="00E5593B" w:rsidP="001B1BEE">
            <w:pPr>
              <w:rPr>
                <w:b/>
              </w:rPr>
            </w:pPr>
            <w:r w:rsidRPr="00C62FFA">
              <w:rPr>
                <w:b/>
              </w:rPr>
              <w:t>Textes de loi</w:t>
            </w:r>
          </w:p>
        </w:tc>
      </w:tr>
      <w:tr w:rsidR="00E5593B" w14:paraId="3CE54D59" w14:textId="77777777" w:rsidTr="001B1BEE">
        <w:tc>
          <w:tcPr>
            <w:tcW w:w="3070" w:type="dxa"/>
          </w:tcPr>
          <w:p w14:paraId="2564E229" w14:textId="77777777" w:rsidR="00E5593B" w:rsidRPr="009F1FFC" w:rsidRDefault="00E5593B" w:rsidP="001B1BEE">
            <w:pPr>
              <w:rPr>
                <w:b/>
                <w:bCs/>
                <w:i/>
                <w:iCs/>
              </w:rPr>
            </w:pPr>
            <w:r w:rsidRPr="009F1FFC">
              <w:rPr>
                <w:b/>
                <w:bCs/>
                <w:i/>
                <w:iCs/>
              </w:rPr>
              <w:lastRenderedPageBreak/>
              <w:t>Un collègue envoie à une agente des SMS à caractère</w:t>
            </w:r>
          </w:p>
          <w:p w14:paraId="2A4507CD" w14:textId="77777777" w:rsidR="00E5593B" w:rsidRPr="009F1FFC" w:rsidRDefault="00E5593B" w:rsidP="001B1BEE">
            <w:pPr>
              <w:rPr>
                <w:b/>
                <w:bCs/>
                <w:i/>
                <w:iCs/>
              </w:rPr>
            </w:pPr>
            <w:proofErr w:type="gramStart"/>
            <w:r w:rsidRPr="009F1FFC">
              <w:rPr>
                <w:b/>
                <w:bCs/>
                <w:i/>
                <w:iCs/>
              </w:rPr>
              <w:t>sexuel</w:t>
            </w:r>
            <w:proofErr w:type="gramEnd"/>
            <w:r w:rsidRPr="009F1FFC">
              <w:rPr>
                <w:b/>
                <w:bCs/>
                <w:i/>
                <w:iCs/>
              </w:rPr>
              <w:t xml:space="preserve"> malgré son refus, sa gêne ou l’absence de</w:t>
            </w:r>
          </w:p>
          <w:p w14:paraId="35491333" w14:textId="77777777" w:rsidR="00E5593B" w:rsidRPr="009F1FFC" w:rsidRDefault="00E5593B" w:rsidP="001B1BEE">
            <w:pPr>
              <w:rPr>
                <w:b/>
                <w:bCs/>
                <w:i/>
                <w:iCs/>
              </w:rPr>
            </w:pPr>
            <w:proofErr w:type="gramStart"/>
            <w:r w:rsidRPr="009F1FFC">
              <w:rPr>
                <w:b/>
                <w:bCs/>
                <w:i/>
                <w:iCs/>
              </w:rPr>
              <w:t>réponse</w:t>
            </w:r>
            <w:proofErr w:type="gramEnd"/>
            <w:r w:rsidRPr="009F1FFC">
              <w:rPr>
                <w:b/>
                <w:bCs/>
                <w:i/>
                <w:iCs/>
              </w:rPr>
              <w:t>.</w:t>
            </w:r>
          </w:p>
          <w:p w14:paraId="4F724931" w14:textId="77777777" w:rsidR="00E5593B" w:rsidRPr="009F1FFC" w:rsidRDefault="00E5593B" w:rsidP="001B1BEE">
            <w:pPr>
              <w:rPr>
                <w:b/>
                <w:bCs/>
                <w:i/>
                <w:iCs/>
              </w:rPr>
            </w:pPr>
            <w:r w:rsidRPr="009F1FFC">
              <w:rPr>
                <w:b/>
                <w:bCs/>
                <w:i/>
                <w:iCs/>
              </w:rPr>
              <w:t>Des collègues miment régulièrement un rapport sexuel</w:t>
            </w:r>
          </w:p>
          <w:p w14:paraId="6E6EC972" w14:textId="77777777" w:rsidR="00E5593B" w:rsidRPr="009F1FFC" w:rsidRDefault="00E5593B" w:rsidP="001B1BEE">
            <w:pPr>
              <w:rPr>
                <w:b/>
                <w:bCs/>
                <w:i/>
                <w:iCs/>
              </w:rPr>
            </w:pPr>
            <w:proofErr w:type="gramStart"/>
            <w:r w:rsidRPr="009F1FFC">
              <w:rPr>
                <w:b/>
                <w:bCs/>
                <w:i/>
                <w:iCs/>
              </w:rPr>
              <w:t>pour</w:t>
            </w:r>
            <w:proofErr w:type="gramEnd"/>
            <w:r w:rsidRPr="009F1FFC">
              <w:rPr>
                <w:b/>
                <w:bCs/>
                <w:i/>
                <w:iCs/>
              </w:rPr>
              <w:t xml:space="preserve"> rigoler, ou racontent à leurs collègues les détails</w:t>
            </w:r>
          </w:p>
          <w:p w14:paraId="2B3302CA" w14:textId="77777777" w:rsidR="00E5593B" w:rsidRDefault="00E5593B" w:rsidP="001B1BEE">
            <w:proofErr w:type="gramStart"/>
            <w:r w:rsidRPr="009F1FFC">
              <w:rPr>
                <w:b/>
                <w:bCs/>
                <w:i/>
                <w:iCs/>
              </w:rPr>
              <w:t>de</w:t>
            </w:r>
            <w:proofErr w:type="gramEnd"/>
            <w:r w:rsidRPr="009F1FFC">
              <w:rPr>
                <w:b/>
                <w:bCs/>
                <w:i/>
                <w:iCs/>
              </w:rPr>
              <w:t xml:space="preserve"> leur vie sexuelle malgré leur gêne.</w:t>
            </w:r>
          </w:p>
        </w:tc>
        <w:tc>
          <w:tcPr>
            <w:tcW w:w="3071" w:type="dxa"/>
          </w:tcPr>
          <w:p w14:paraId="5EFEDA45" w14:textId="77777777" w:rsidR="00E5593B" w:rsidRPr="009F1FFC" w:rsidRDefault="00E5593B" w:rsidP="001B1BEE">
            <w:r w:rsidRPr="009F1FFC">
              <w:t>Il s’agit d’</w:t>
            </w:r>
            <w:r w:rsidRPr="009F1FFC">
              <w:rPr>
                <w:b/>
                <w:bCs/>
              </w:rPr>
              <w:t xml:space="preserve">actes répétés </w:t>
            </w:r>
            <w:r w:rsidRPr="009F1FFC">
              <w:t>à connotation sexuelle.</w:t>
            </w:r>
          </w:p>
          <w:p w14:paraId="72086F91" w14:textId="77777777" w:rsidR="00E5593B" w:rsidRPr="009F1FFC" w:rsidRDefault="00E5593B" w:rsidP="001B1BEE">
            <w:r w:rsidRPr="009F1FFC">
              <w:t xml:space="preserve">Ils créent une </w:t>
            </w:r>
            <w:r w:rsidRPr="009F1FFC">
              <w:rPr>
                <w:b/>
                <w:bCs/>
              </w:rPr>
              <w:t xml:space="preserve">atteinte à la vie privée </w:t>
            </w:r>
            <w:r w:rsidRPr="009F1FFC">
              <w:t>de la personne,</w:t>
            </w:r>
          </w:p>
          <w:p w14:paraId="48ACFA19" w14:textId="77777777" w:rsidR="00E5593B" w:rsidRDefault="00E5593B" w:rsidP="001B1BEE">
            <w:proofErr w:type="gramStart"/>
            <w:r w:rsidRPr="009F1FFC">
              <w:t>à</w:t>
            </w:r>
            <w:proofErr w:type="gramEnd"/>
            <w:r w:rsidRPr="009F1FFC">
              <w:t xml:space="preserve"> sa dignité et sont </w:t>
            </w:r>
            <w:r w:rsidRPr="009F1FFC">
              <w:rPr>
                <w:b/>
                <w:bCs/>
              </w:rPr>
              <w:t>offensants et humiliants.</w:t>
            </w:r>
          </w:p>
        </w:tc>
        <w:tc>
          <w:tcPr>
            <w:tcW w:w="3606" w:type="dxa"/>
          </w:tcPr>
          <w:p w14:paraId="2F0364A1" w14:textId="77777777" w:rsidR="00E5593B" w:rsidRPr="009F1FFC" w:rsidRDefault="00E5593B" w:rsidP="001B1BEE">
            <w:r w:rsidRPr="009F1FFC">
              <w:t>« Le harcèlement sexuel se caractérise par le fait d'imposer à une personne, de façon</w:t>
            </w:r>
          </w:p>
          <w:p w14:paraId="30383C45" w14:textId="77777777" w:rsidR="00E5593B" w:rsidRPr="009F1FFC" w:rsidRDefault="00E5593B" w:rsidP="001B1BEE">
            <w:proofErr w:type="gramStart"/>
            <w:r w:rsidRPr="009F1FFC">
              <w:t>répétée</w:t>
            </w:r>
            <w:proofErr w:type="gramEnd"/>
            <w:r w:rsidRPr="009F1FFC">
              <w:t>, des propos ou comportements à connotation sexuelle ou sexiste, qui portent</w:t>
            </w:r>
          </w:p>
          <w:p w14:paraId="786CFD5A" w14:textId="77777777" w:rsidR="00E5593B" w:rsidRPr="009F1FFC" w:rsidRDefault="00E5593B" w:rsidP="001B1BEE">
            <w:proofErr w:type="gramStart"/>
            <w:r w:rsidRPr="009F1FFC">
              <w:t>atteinte</w:t>
            </w:r>
            <w:proofErr w:type="gramEnd"/>
            <w:r w:rsidRPr="009F1FFC">
              <w:t xml:space="preserve"> à sa dignité en raison de leur caractère dégradant ou humiliant, ou créent à son</w:t>
            </w:r>
          </w:p>
          <w:p w14:paraId="0840612E" w14:textId="77777777" w:rsidR="00E5593B" w:rsidRPr="009F1FFC" w:rsidRDefault="00E5593B" w:rsidP="001B1BEE">
            <w:proofErr w:type="gramStart"/>
            <w:r w:rsidRPr="009F1FFC">
              <w:t>encontre</w:t>
            </w:r>
            <w:proofErr w:type="gramEnd"/>
            <w:r w:rsidRPr="009F1FFC">
              <w:t xml:space="preserve"> une situation intimidante, hostile ou offensante. »</w:t>
            </w:r>
          </w:p>
          <w:p w14:paraId="28DCE260" w14:textId="77777777" w:rsidR="00E5593B" w:rsidRDefault="00E5593B" w:rsidP="001B1BEE">
            <w:r w:rsidRPr="009F1FFC">
              <w:t>(Art. 222-33 du Code Pénal)</w:t>
            </w:r>
          </w:p>
        </w:tc>
      </w:tr>
      <w:tr w:rsidR="00E5593B" w14:paraId="31B72209" w14:textId="77777777" w:rsidTr="001B1BEE">
        <w:tc>
          <w:tcPr>
            <w:tcW w:w="3070" w:type="dxa"/>
          </w:tcPr>
          <w:p w14:paraId="43D52C51" w14:textId="77777777" w:rsidR="00E5593B" w:rsidRPr="009F1FFC" w:rsidRDefault="00E5593B" w:rsidP="001B1BEE">
            <w:pPr>
              <w:rPr>
                <w:b/>
                <w:bCs/>
                <w:i/>
                <w:iCs/>
              </w:rPr>
            </w:pPr>
            <w:r w:rsidRPr="009F1FFC">
              <w:rPr>
                <w:b/>
                <w:bCs/>
                <w:i/>
                <w:iCs/>
              </w:rPr>
              <w:t>Plusieurs agents font des remarques sur la vie intime</w:t>
            </w:r>
          </w:p>
          <w:p w14:paraId="64120939" w14:textId="77777777" w:rsidR="00E5593B" w:rsidRPr="009F1FFC" w:rsidRDefault="00E5593B" w:rsidP="001B1BEE">
            <w:pPr>
              <w:rPr>
                <w:b/>
                <w:bCs/>
                <w:i/>
                <w:iCs/>
              </w:rPr>
            </w:pPr>
            <w:proofErr w:type="gramStart"/>
            <w:r w:rsidRPr="009F1FFC">
              <w:rPr>
                <w:b/>
                <w:bCs/>
                <w:i/>
                <w:iCs/>
              </w:rPr>
              <w:t>d’un</w:t>
            </w:r>
            <w:proofErr w:type="gramEnd"/>
            <w:r w:rsidRPr="009F1FFC">
              <w:rPr>
                <w:b/>
                <w:bCs/>
                <w:i/>
                <w:iCs/>
              </w:rPr>
              <w:t xml:space="preserve"> autre agent via la messagerie instantanée du</w:t>
            </w:r>
          </w:p>
          <w:p w14:paraId="22F8BBD5" w14:textId="77777777" w:rsidR="00E5593B" w:rsidRDefault="00E5593B" w:rsidP="001B1BEE">
            <w:proofErr w:type="gramStart"/>
            <w:r w:rsidRPr="009F1FFC">
              <w:rPr>
                <w:b/>
                <w:bCs/>
                <w:i/>
                <w:iCs/>
              </w:rPr>
              <w:t>service</w:t>
            </w:r>
            <w:proofErr w:type="gramEnd"/>
            <w:r w:rsidRPr="009F1FFC">
              <w:rPr>
                <w:b/>
                <w:bCs/>
                <w:i/>
                <w:iCs/>
              </w:rPr>
              <w:t>, dans l’objectif de le mettre mal à l’aise.</w:t>
            </w:r>
          </w:p>
        </w:tc>
        <w:tc>
          <w:tcPr>
            <w:tcW w:w="3071" w:type="dxa"/>
          </w:tcPr>
          <w:p w14:paraId="3B4A91FA" w14:textId="77777777" w:rsidR="00E5593B" w:rsidRPr="009F1FFC" w:rsidRDefault="00E5593B" w:rsidP="001B1BEE">
            <w:r w:rsidRPr="009F1FFC">
              <w:t xml:space="preserve">Il s’agit d’un </w:t>
            </w:r>
            <w:r w:rsidRPr="009F1FFC">
              <w:rPr>
                <w:b/>
                <w:bCs/>
              </w:rPr>
              <w:t xml:space="preserve">acte unique </w:t>
            </w:r>
            <w:r w:rsidRPr="009F1FFC">
              <w:t>commis par plusieurs</w:t>
            </w:r>
          </w:p>
          <w:p w14:paraId="36CEF51E" w14:textId="77777777" w:rsidR="00E5593B" w:rsidRPr="009F1FFC" w:rsidRDefault="00E5593B" w:rsidP="001B1BEE">
            <w:proofErr w:type="gramStart"/>
            <w:r w:rsidRPr="009F1FFC">
              <w:t>personnes</w:t>
            </w:r>
            <w:proofErr w:type="gramEnd"/>
            <w:r w:rsidRPr="009F1FFC">
              <w:t>.</w:t>
            </w:r>
          </w:p>
          <w:p w14:paraId="3C9E5CCF" w14:textId="77777777" w:rsidR="00E5593B" w:rsidRPr="009F1FFC" w:rsidRDefault="00E5593B" w:rsidP="001B1BEE">
            <w:pPr>
              <w:rPr>
                <w:b/>
                <w:bCs/>
              </w:rPr>
            </w:pPr>
            <w:r w:rsidRPr="009F1FFC">
              <w:t xml:space="preserve">Il est imposé de manière </w:t>
            </w:r>
            <w:r w:rsidRPr="009F1FFC">
              <w:rPr>
                <w:b/>
                <w:bCs/>
              </w:rPr>
              <w:t>concertée à une même</w:t>
            </w:r>
          </w:p>
          <w:p w14:paraId="225B5408" w14:textId="77777777" w:rsidR="00E5593B" w:rsidRDefault="00E5593B" w:rsidP="001B1BEE">
            <w:proofErr w:type="gramStart"/>
            <w:r w:rsidRPr="009F1FFC">
              <w:rPr>
                <w:b/>
                <w:bCs/>
              </w:rPr>
              <w:t>victime</w:t>
            </w:r>
            <w:proofErr w:type="gramEnd"/>
            <w:r w:rsidRPr="009F1FFC">
              <w:rPr>
                <w:b/>
                <w:bCs/>
              </w:rPr>
              <w:t>.</w:t>
            </w:r>
          </w:p>
        </w:tc>
        <w:tc>
          <w:tcPr>
            <w:tcW w:w="3606" w:type="dxa"/>
          </w:tcPr>
          <w:p w14:paraId="24B380CA" w14:textId="77777777" w:rsidR="00E5593B" w:rsidRPr="009F1FFC" w:rsidRDefault="00E5593B" w:rsidP="001B1BEE">
            <w:r w:rsidRPr="009F1FFC">
              <w:t>« Lorsque ces propos ou comportements sont imposés à une même victime,</w:t>
            </w:r>
          </w:p>
          <w:p w14:paraId="15607C9C" w14:textId="77777777" w:rsidR="00E5593B" w:rsidRPr="009F1FFC" w:rsidRDefault="00E5593B" w:rsidP="001B1BEE">
            <w:proofErr w:type="gramStart"/>
            <w:r w:rsidRPr="009F1FFC">
              <w:t>successivement</w:t>
            </w:r>
            <w:proofErr w:type="gramEnd"/>
            <w:r w:rsidRPr="009F1FFC">
              <w:t>, par plusieurs personnes qui, même en l'absence de concertation, savent</w:t>
            </w:r>
          </w:p>
          <w:p w14:paraId="31991B21" w14:textId="77777777" w:rsidR="00E5593B" w:rsidRPr="009F1FFC" w:rsidRDefault="00E5593B" w:rsidP="001B1BEE">
            <w:proofErr w:type="gramStart"/>
            <w:r w:rsidRPr="009F1FFC">
              <w:t>que</w:t>
            </w:r>
            <w:proofErr w:type="gramEnd"/>
            <w:r w:rsidRPr="009F1FFC">
              <w:t xml:space="preserve"> ces propos ou comportements caractérisent une répétition. »</w:t>
            </w:r>
          </w:p>
          <w:p w14:paraId="59B28C24" w14:textId="77777777" w:rsidR="00E5593B" w:rsidRDefault="00E5593B" w:rsidP="001B1BEE">
            <w:r w:rsidRPr="00BD7372">
              <w:t>(Art. 11 de la loi n° 2018-703 du 3 août 2018)</w:t>
            </w:r>
          </w:p>
        </w:tc>
      </w:tr>
      <w:tr w:rsidR="00E5593B" w14:paraId="13E06DCF" w14:textId="77777777" w:rsidTr="001B1BEE">
        <w:tc>
          <w:tcPr>
            <w:tcW w:w="3070" w:type="dxa"/>
          </w:tcPr>
          <w:p w14:paraId="59A18EC1" w14:textId="77777777" w:rsidR="00E5593B" w:rsidRPr="009F1FFC" w:rsidRDefault="00E5593B" w:rsidP="001B1BEE">
            <w:pPr>
              <w:rPr>
                <w:b/>
                <w:bCs/>
                <w:i/>
                <w:iCs/>
              </w:rPr>
            </w:pPr>
            <w:r w:rsidRPr="009F1FFC">
              <w:rPr>
                <w:b/>
                <w:bCs/>
                <w:i/>
                <w:iCs/>
              </w:rPr>
              <w:t>Sur les murs de la salle de pause, des agents ont affiché</w:t>
            </w:r>
          </w:p>
          <w:p w14:paraId="25EE7A00" w14:textId="77777777" w:rsidR="00E5593B" w:rsidRDefault="00E5593B" w:rsidP="001B1BEE">
            <w:proofErr w:type="gramStart"/>
            <w:r w:rsidRPr="009F1FFC">
              <w:rPr>
                <w:b/>
                <w:bCs/>
                <w:i/>
                <w:iCs/>
              </w:rPr>
              <w:t>des</w:t>
            </w:r>
            <w:proofErr w:type="gramEnd"/>
            <w:r w:rsidRPr="009F1FFC">
              <w:rPr>
                <w:b/>
                <w:bCs/>
                <w:i/>
                <w:iCs/>
              </w:rPr>
              <w:t xml:space="preserve"> posters à caractère pornographique.</w:t>
            </w:r>
          </w:p>
        </w:tc>
        <w:tc>
          <w:tcPr>
            <w:tcW w:w="3071" w:type="dxa"/>
          </w:tcPr>
          <w:p w14:paraId="48CB1D74" w14:textId="77777777" w:rsidR="00E5593B" w:rsidRPr="009F1FFC" w:rsidRDefault="00E5593B" w:rsidP="001B1BEE">
            <w:r w:rsidRPr="009F1FFC">
              <w:t>Ces affichages ne visent pas directement une personne.</w:t>
            </w:r>
          </w:p>
          <w:p w14:paraId="3335C19C" w14:textId="77777777" w:rsidR="00E5593B" w:rsidRPr="009F1FFC" w:rsidRDefault="00E5593B" w:rsidP="001B1BEE">
            <w:r w:rsidRPr="009F1FFC">
              <w:t>Néanmoins, ils contribuent à rendre l’environnement de</w:t>
            </w:r>
          </w:p>
          <w:p w14:paraId="305148AD" w14:textId="77777777" w:rsidR="00E5593B" w:rsidRDefault="00E5593B" w:rsidP="001B1BEE">
            <w:proofErr w:type="gramStart"/>
            <w:r w:rsidRPr="009F1FFC">
              <w:t>travail</w:t>
            </w:r>
            <w:proofErr w:type="gramEnd"/>
            <w:r w:rsidRPr="009F1FFC">
              <w:t xml:space="preserve"> </w:t>
            </w:r>
            <w:r w:rsidRPr="009F1FFC">
              <w:rPr>
                <w:b/>
                <w:bCs/>
              </w:rPr>
              <w:t>humiliant.</w:t>
            </w:r>
          </w:p>
        </w:tc>
        <w:tc>
          <w:tcPr>
            <w:tcW w:w="3606" w:type="dxa"/>
          </w:tcPr>
          <w:p w14:paraId="395DE7DE" w14:textId="77777777" w:rsidR="00E5593B" w:rsidRPr="009F1FFC" w:rsidRDefault="00E5593B" w:rsidP="001B1BEE">
            <w:r w:rsidRPr="009F1FFC">
              <w:t xml:space="preserve">« Le harcèlement sexuel peut consister en un harcèlement environnemental </w:t>
            </w:r>
            <w:proofErr w:type="gramStart"/>
            <w:r w:rsidRPr="009F1FFC">
              <w:t>ou</w:t>
            </w:r>
            <w:proofErr w:type="gramEnd"/>
          </w:p>
          <w:p w14:paraId="62951360" w14:textId="77777777" w:rsidR="00E5593B" w:rsidRPr="009F1FFC" w:rsidRDefault="00E5593B" w:rsidP="001B1BEE">
            <w:proofErr w:type="gramStart"/>
            <w:r w:rsidRPr="009F1FFC">
              <w:t>d’ambiance</w:t>
            </w:r>
            <w:proofErr w:type="gramEnd"/>
            <w:r w:rsidRPr="009F1FFC">
              <w:t>, où, sans être directement visée, la victime subit les provocations et blagues</w:t>
            </w:r>
          </w:p>
          <w:p w14:paraId="0C154104" w14:textId="77777777" w:rsidR="00E5593B" w:rsidRPr="009F1FFC" w:rsidRDefault="00E5593B" w:rsidP="001B1BEE">
            <w:proofErr w:type="gramStart"/>
            <w:r w:rsidRPr="009F1FFC">
              <w:t>obscènes</w:t>
            </w:r>
            <w:proofErr w:type="gramEnd"/>
            <w:r w:rsidRPr="009F1FFC">
              <w:t xml:space="preserve"> et vulgaires qui lui deviennent insupportables. »</w:t>
            </w:r>
          </w:p>
          <w:p w14:paraId="266BE296" w14:textId="77777777" w:rsidR="00E5593B" w:rsidRDefault="00E5593B" w:rsidP="001B1BEE">
            <w:r w:rsidRPr="009F1FFC">
              <w:t>(CA Orléans, n° 15/02566, 7 février 2017)</w:t>
            </w:r>
          </w:p>
        </w:tc>
      </w:tr>
      <w:tr w:rsidR="00E5593B" w14:paraId="0B40CB6B" w14:textId="77777777" w:rsidTr="001B1BEE">
        <w:tc>
          <w:tcPr>
            <w:tcW w:w="3070" w:type="dxa"/>
          </w:tcPr>
          <w:p w14:paraId="23E16575" w14:textId="77777777" w:rsidR="00E5593B" w:rsidRPr="009F1FFC" w:rsidRDefault="00E5593B" w:rsidP="001B1BEE">
            <w:pPr>
              <w:rPr>
                <w:b/>
                <w:bCs/>
                <w:i/>
                <w:iCs/>
              </w:rPr>
            </w:pPr>
            <w:r w:rsidRPr="009F1FFC">
              <w:rPr>
                <w:b/>
                <w:bCs/>
                <w:i/>
                <w:iCs/>
              </w:rPr>
              <w:t>Un supérieur hiérarchique refuse d’accorder</w:t>
            </w:r>
          </w:p>
          <w:p w14:paraId="18FE0961" w14:textId="77777777" w:rsidR="00E5593B" w:rsidRPr="009F1FFC" w:rsidRDefault="00E5593B" w:rsidP="001B1BEE">
            <w:pPr>
              <w:rPr>
                <w:b/>
                <w:bCs/>
                <w:i/>
                <w:iCs/>
              </w:rPr>
            </w:pPr>
            <w:proofErr w:type="gramStart"/>
            <w:r w:rsidRPr="009F1FFC">
              <w:rPr>
                <w:b/>
                <w:bCs/>
                <w:i/>
                <w:iCs/>
              </w:rPr>
              <w:t>une</w:t>
            </w:r>
            <w:proofErr w:type="gramEnd"/>
            <w:r w:rsidRPr="009F1FFC">
              <w:rPr>
                <w:b/>
                <w:bCs/>
                <w:i/>
                <w:iCs/>
              </w:rPr>
              <w:t xml:space="preserve"> promotion à une agente tant qu’elle n’a pas</w:t>
            </w:r>
          </w:p>
          <w:p w14:paraId="64BA99D7" w14:textId="77777777" w:rsidR="00E5593B" w:rsidRDefault="00E5593B" w:rsidP="001B1BEE">
            <w:proofErr w:type="gramStart"/>
            <w:r w:rsidRPr="009F1FFC">
              <w:rPr>
                <w:b/>
                <w:bCs/>
                <w:i/>
                <w:iCs/>
              </w:rPr>
              <w:t>une</w:t>
            </w:r>
            <w:proofErr w:type="gramEnd"/>
            <w:r w:rsidRPr="009F1FFC">
              <w:rPr>
                <w:b/>
                <w:bCs/>
                <w:i/>
                <w:iCs/>
              </w:rPr>
              <w:t xml:space="preserve"> relation sexuelle avec lui.</w:t>
            </w:r>
          </w:p>
        </w:tc>
        <w:tc>
          <w:tcPr>
            <w:tcW w:w="3071" w:type="dxa"/>
          </w:tcPr>
          <w:p w14:paraId="65ACB182" w14:textId="77777777" w:rsidR="00E5593B" w:rsidRPr="009F1FFC" w:rsidRDefault="00E5593B" w:rsidP="001B1BEE">
            <w:pPr>
              <w:rPr>
                <w:b/>
                <w:bCs/>
              </w:rPr>
            </w:pPr>
            <w:r w:rsidRPr="009F1FFC">
              <w:t xml:space="preserve">Il s’agit d’un </w:t>
            </w:r>
            <w:r w:rsidRPr="009F1FFC">
              <w:rPr>
                <w:b/>
                <w:bCs/>
              </w:rPr>
              <w:t>acte unique.</w:t>
            </w:r>
          </w:p>
          <w:p w14:paraId="2D22B15A" w14:textId="77777777" w:rsidR="00E5593B" w:rsidRPr="009F1FFC" w:rsidRDefault="00E5593B" w:rsidP="001B1BEE">
            <w:r w:rsidRPr="009F1FFC">
              <w:t xml:space="preserve">La proposition exerce une </w:t>
            </w:r>
            <w:r w:rsidRPr="009F1FFC">
              <w:rPr>
                <w:b/>
                <w:bCs/>
              </w:rPr>
              <w:t xml:space="preserve">pression grave </w:t>
            </w:r>
            <w:r w:rsidRPr="009F1FFC">
              <w:t>sur l’agente</w:t>
            </w:r>
          </w:p>
          <w:p w14:paraId="26FA9D78" w14:textId="77777777" w:rsidR="00E5593B" w:rsidRDefault="00E5593B" w:rsidP="001B1BEE">
            <w:proofErr w:type="gramStart"/>
            <w:r w:rsidRPr="009F1FFC">
              <w:t>pour</w:t>
            </w:r>
            <w:proofErr w:type="gramEnd"/>
            <w:r w:rsidRPr="009F1FFC">
              <w:t xml:space="preserve"> un acte sexuel.</w:t>
            </w:r>
          </w:p>
        </w:tc>
        <w:tc>
          <w:tcPr>
            <w:tcW w:w="3606" w:type="dxa"/>
          </w:tcPr>
          <w:p w14:paraId="7777BAEA" w14:textId="77777777" w:rsidR="00E5593B" w:rsidRPr="009F1FFC" w:rsidRDefault="00E5593B" w:rsidP="001B1BEE">
            <w:r w:rsidRPr="009F1FFC">
              <w:t>« Est assimilée au harcèlement sexuel toute forme de pression grave (même non répétée)</w:t>
            </w:r>
          </w:p>
          <w:p w14:paraId="474A974C" w14:textId="77777777" w:rsidR="00E5593B" w:rsidRPr="009F1FFC" w:rsidRDefault="00E5593B" w:rsidP="001B1BEE">
            <w:proofErr w:type="gramStart"/>
            <w:r w:rsidRPr="009F1FFC">
              <w:t>dans</w:t>
            </w:r>
            <w:proofErr w:type="gramEnd"/>
            <w:r w:rsidRPr="009F1FFC">
              <w:t xml:space="preserve"> le but réel ou apparent d'obtenir un acte sexuel, au profit de l'auteur des faits ou d'un</w:t>
            </w:r>
          </w:p>
          <w:p w14:paraId="139B14DB" w14:textId="77777777" w:rsidR="00E5593B" w:rsidRPr="009F1FFC" w:rsidRDefault="00E5593B" w:rsidP="001B1BEE">
            <w:proofErr w:type="gramStart"/>
            <w:r w:rsidRPr="009F1FFC">
              <w:t>tiers</w:t>
            </w:r>
            <w:proofErr w:type="gramEnd"/>
            <w:r w:rsidRPr="009F1FFC">
              <w:t>. »</w:t>
            </w:r>
          </w:p>
          <w:p w14:paraId="3F7BCBA8" w14:textId="77777777" w:rsidR="00E5593B" w:rsidRDefault="00E5593B" w:rsidP="001B1BEE">
            <w:r w:rsidRPr="009F1FFC">
              <w:t>(Art. 222-33 du Code Pénal)</w:t>
            </w:r>
          </w:p>
        </w:tc>
      </w:tr>
    </w:tbl>
    <w:p w14:paraId="4FC8841D" w14:textId="77777777" w:rsidR="00E5593B" w:rsidRDefault="00E5593B" w:rsidP="00E5593B">
      <w:pPr>
        <w:jc w:val="both"/>
        <w:rPr>
          <w:color w:val="000000"/>
          <w:szCs w:val="24"/>
        </w:rPr>
      </w:pPr>
    </w:p>
    <w:p w14:paraId="5A8127DF" w14:textId="77777777" w:rsidR="00E5593B" w:rsidRDefault="00E5593B" w:rsidP="00E5593B">
      <w:pPr>
        <w:jc w:val="both"/>
        <w:rPr>
          <w:b/>
          <w:color w:val="000000"/>
          <w:szCs w:val="24"/>
          <w:u w:val="single"/>
        </w:rPr>
      </w:pPr>
    </w:p>
    <w:p w14:paraId="27E37FF6" w14:textId="77777777" w:rsidR="00E5593B" w:rsidRDefault="00E5593B" w:rsidP="00E5593B">
      <w:pPr>
        <w:jc w:val="both"/>
        <w:rPr>
          <w:b/>
          <w:color w:val="000000"/>
          <w:szCs w:val="24"/>
          <w:u w:val="single"/>
        </w:rPr>
      </w:pPr>
    </w:p>
    <w:p w14:paraId="5DB0D410" w14:textId="77777777" w:rsidR="00E5593B" w:rsidRPr="00E36886" w:rsidRDefault="00E5593B" w:rsidP="00E5593B">
      <w:pPr>
        <w:jc w:val="both"/>
        <w:rPr>
          <w:b/>
          <w:color w:val="000000"/>
          <w:szCs w:val="24"/>
        </w:rPr>
      </w:pPr>
      <w:r w:rsidRPr="00E36886">
        <w:rPr>
          <w:color w:val="000000"/>
          <w:szCs w:val="24"/>
        </w:rPr>
        <w:t xml:space="preserve">Le </w:t>
      </w:r>
      <w:r>
        <w:rPr>
          <w:color w:val="000000"/>
          <w:szCs w:val="24"/>
        </w:rPr>
        <w:t>troisième</w:t>
      </w:r>
      <w:r w:rsidRPr="00E36886">
        <w:rPr>
          <w:color w:val="000000"/>
          <w:szCs w:val="24"/>
        </w:rPr>
        <w:t xml:space="preserve"> tableau porte sur</w:t>
      </w:r>
      <w:r w:rsidRPr="00E36886">
        <w:rPr>
          <w:b/>
          <w:color w:val="000000"/>
          <w:szCs w:val="24"/>
        </w:rPr>
        <w:t xml:space="preserve"> les agissements sexistes.</w:t>
      </w:r>
    </w:p>
    <w:p w14:paraId="63C43F87" w14:textId="77777777" w:rsidR="00E5593B" w:rsidRPr="00984636" w:rsidRDefault="00E5593B" w:rsidP="00E5593B">
      <w:pPr>
        <w:jc w:val="both"/>
        <w:rPr>
          <w:b/>
          <w:color w:val="000000"/>
          <w:szCs w:val="24"/>
          <w:u w:val="single"/>
        </w:rPr>
      </w:pPr>
    </w:p>
    <w:tbl>
      <w:tblPr>
        <w:tblStyle w:val="Grilledutableau"/>
        <w:tblW w:w="0" w:type="auto"/>
        <w:tblLook w:val="04A0" w:firstRow="1" w:lastRow="0" w:firstColumn="1" w:lastColumn="0" w:noHBand="0" w:noVBand="1"/>
      </w:tblPr>
      <w:tblGrid>
        <w:gridCol w:w="3034"/>
        <w:gridCol w:w="3037"/>
        <w:gridCol w:w="3557"/>
      </w:tblGrid>
      <w:tr w:rsidR="00E5593B" w14:paraId="0E9F357D" w14:textId="77777777" w:rsidTr="001B1BEE">
        <w:tc>
          <w:tcPr>
            <w:tcW w:w="3070" w:type="dxa"/>
          </w:tcPr>
          <w:p w14:paraId="7AC61673" w14:textId="77777777" w:rsidR="00E5593B" w:rsidRDefault="00E5593B" w:rsidP="001B1BEE">
            <w:r>
              <w:t>Exemple de situation</w:t>
            </w:r>
          </w:p>
        </w:tc>
        <w:tc>
          <w:tcPr>
            <w:tcW w:w="3071" w:type="dxa"/>
          </w:tcPr>
          <w:p w14:paraId="1C583603" w14:textId="77777777" w:rsidR="00E5593B" w:rsidRDefault="00E5593B" w:rsidP="001B1BEE">
            <w:r>
              <w:t>Qualification</w:t>
            </w:r>
          </w:p>
        </w:tc>
        <w:tc>
          <w:tcPr>
            <w:tcW w:w="3606" w:type="dxa"/>
          </w:tcPr>
          <w:p w14:paraId="7F1CCADB" w14:textId="77777777" w:rsidR="00E5593B" w:rsidRDefault="00E5593B" w:rsidP="001B1BEE">
            <w:r>
              <w:t>Textes de loi</w:t>
            </w:r>
          </w:p>
        </w:tc>
      </w:tr>
      <w:tr w:rsidR="00E5593B" w14:paraId="02F08B3C" w14:textId="77777777" w:rsidTr="001B1BEE">
        <w:tc>
          <w:tcPr>
            <w:tcW w:w="3070" w:type="dxa"/>
          </w:tcPr>
          <w:p w14:paraId="0CD3AEB1" w14:textId="77777777" w:rsidR="00E5593B" w:rsidRPr="00E36886" w:rsidRDefault="00E5593B" w:rsidP="001B1BEE">
            <w:pPr>
              <w:rPr>
                <w:rFonts w:cs="AauxProOT-BoldItalic"/>
                <w:b/>
                <w:bCs/>
                <w:i/>
                <w:iCs/>
                <w:szCs w:val="18"/>
              </w:rPr>
            </w:pPr>
            <w:r w:rsidRPr="00E36886">
              <w:rPr>
                <w:rFonts w:cs="AauxProOT-BoldItalic"/>
                <w:b/>
                <w:bCs/>
                <w:i/>
                <w:iCs/>
                <w:szCs w:val="18"/>
              </w:rPr>
              <w:lastRenderedPageBreak/>
              <w:t>Un supérieur hiérarchique reproche à une agente</w:t>
            </w:r>
          </w:p>
          <w:p w14:paraId="2FE16B35" w14:textId="77777777" w:rsidR="00E5593B" w:rsidRPr="00E36886" w:rsidRDefault="00E5593B" w:rsidP="001B1BEE">
            <w:pPr>
              <w:rPr>
                <w:rFonts w:cs="AauxProOT-BoldItalic"/>
                <w:b/>
                <w:bCs/>
                <w:i/>
                <w:iCs/>
                <w:szCs w:val="18"/>
              </w:rPr>
            </w:pPr>
            <w:proofErr w:type="gramStart"/>
            <w:r w:rsidRPr="00E36886">
              <w:rPr>
                <w:rFonts w:cs="AauxProOT-BoldItalic"/>
                <w:b/>
                <w:bCs/>
                <w:i/>
                <w:iCs/>
                <w:szCs w:val="18"/>
              </w:rPr>
              <w:t>sa</w:t>
            </w:r>
            <w:proofErr w:type="gramEnd"/>
            <w:r w:rsidRPr="00E36886">
              <w:rPr>
                <w:rFonts w:cs="AauxProOT-BoldItalic"/>
                <w:b/>
                <w:bCs/>
                <w:i/>
                <w:iCs/>
                <w:szCs w:val="18"/>
              </w:rPr>
              <w:t xml:space="preserve"> tenue jugée pas assez féminine pour une réunion.</w:t>
            </w:r>
          </w:p>
          <w:p w14:paraId="75DA9EDA" w14:textId="77777777" w:rsidR="00E5593B" w:rsidRPr="00E36886" w:rsidRDefault="00E5593B" w:rsidP="001B1BEE">
            <w:pPr>
              <w:rPr>
                <w:rFonts w:cs="AauxProOT-BoldItalic"/>
                <w:b/>
                <w:bCs/>
                <w:i/>
                <w:iCs/>
                <w:szCs w:val="18"/>
              </w:rPr>
            </w:pPr>
            <w:r w:rsidRPr="00E36886">
              <w:rPr>
                <w:rFonts w:cs="AauxProOT-BoldItalic"/>
                <w:b/>
                <w:bCs/>
                <w:i/>
                <w:iCs/>
                <w:szCs w:val="18"/>
              </w:rPr>
              <w:t>Un agent fait face à des remarques lorsqu’il prend</w:t>
            </w:r>
          </w:p>
          <w:p w14:paraId="5F0CFFCA" w14:textId="77777777" w:rsidR="00E5593B" w:rsidRPr="00E36886" w:rsidRDefault="00E5593B" w:rsidP="001B1BEE">
            <w:pPr>
              <w:rPr>
                <w:rFonts w:cs="AauxProOT-BoldItalic"/>
                <w:b/>
                <w:bCs/>
                <w:i/>
                <w:iCs/>
                <w:szCs w:val="18"/>
              </w:rPr>
            </w:pPr>
            <w:proofErr w:type="gramStart"/>
            <w:r w:rsidRPr="00E36886">
              <w:rPr>
                <w:rFonts w:cs="AauxProOT-BoldItalic"/>
                <w:b/>
                <w:bCs/>
                <w:i/>
                <w:iCs/>
                <w:szCs w:val="18"/>
              </w:rPr>
              <w:t>son</w:t>
            </w:r>
            <w:proofErr w:type="gramEnd"/>
            <w:r w:rsidRPr="00E36886">
              <w:rPr>
                <w:rFonts w:cs="AauxProOT-BoldItalic"/>
                <w:b/>
                <w:bCs/>
                <w:i/>
                <w:iCs/>
                <w:szCs w:val="18"/>
              </w:rPr>
              <w:t xml:space="preserve"> mercredi pour s’occuper de ses enfants.</w:t>
            </w:r>
          </w:p>
          <w:p w14:paraId="10BDC61F" w14:textId="77777777" w:rsidR="00E5593B" w:rsidRPr="00E36886" w:rsidRDefault="00E5593B" w:rsidP="001B1BEE">
            <w:pPr>
              <w:rPr>
                <w:rFonts w:cs="AauxProOT-BoldItalic"/>
                <w:b/>
                <w:bCs/>
                <w:i/>
                <w:iCs/>
                <w:szCs w:val="18"/>
              </w:rPr>
            </w:pPr>
            <w:r w:rsidRPr="00E36886">
              <w:rPr>
                <w:rFonts w:cs="AauxProOT-BoldItalic"/>
                <w:b/>
                <w:bCs/>
                <w:i/>
                <w:iCs/>
                <w:szCs w:val="18"/>
              </w:rPr>
              <w:t>Un usager fait une blague sur l’incompétence</w:t>
            </w:r>
          </w:p>
          <w:p w14:paraId="5B664FA7" w14:textId="77777777" w:rsidR="00E5593B" w:rsidRDefault="00E5593B" w:rsidP="001B1BEE">
            <w:proofErr w:type="gramStart"/>
            <w:r w:rsidRPr="00E36886">
              <w:rPr>
                <w:rFonts w:cs="AauxProOT-BoldItalic"/>
                <w:b/>
                <w:bCs/>
                <w:i/>
                <w:iCs/>
                <w:szCs w:val="18"/>
              </w:rPr>
              <w:t>professionnelle</w:t>
            </w:r>
            <w:proofErr w:type="gramEnd"/>
            <w:r w:rsidRPr="00E36886">
              <w:rPr>
                <w:rFonts w:cs="AauxProOT-BoldItalic"/>
                <w:b/>
                <w:bCs/>
                <w:i/>
                <w:iCs/>
                <w:szCs w:val="18"/>
              </w:rPr>
              <w:t xml:space="preserve"> des femmes.</w:t>
            </w:r>
          </w:p>
        </w:tc>
        <w:tc>
          <w:tcPr>
            <w:tcW w:w="3071" w:type="dxa"/>
          </w:tcPr>
          <w:p w14:paraId="7F0AA2F0" w14:textId="77777777" w:rsidR="00E5593B" w:rsidRPr="006F37F7" w:rsidRDefault="00E5593B" w:rsidP="001B1BEE">
            <w:r w:rsidRPr="006F37F7">
              <w:t>Il s’agit d’actes uniques ou répétés, liés au sexe d’une</w:t>
            </w:r>
          </w:p>
          <w:p w14:paraId="5619D942" w14:textId="77777777" w:rsidR="00E5593B" w:rsidRPr="006F37F7" w:rsidRDefault="00E5593B" w:rsidP="001B1BEE">
            <w:pPr>
              <w:rPr>
                <w:b/>
                <w:bCs/>
              </w:rPr>
            </w:pPr>
            <w:proofErr w:type="gramStart"/>
            <w:r w:rsidRPr="006F37F7">
              <w:t>personne</w:t>
            </w:r>
            <w:proofErr w:type="gramEnd"/>
            <w:r w:rsidRPr="006F37F7">
              <w:t xml:space="preserve">, qui participent à créer un </w:t>
            </w:r>
            <w:r w:rsidRPr="006F37F7">
              <w:rPr>
                <w:b/>
                <w:bCs/>
              </w:rPr>
              <w:t>environnement</w:t>
            </w:r>
          </w:p>
          <w:p w14:paraId="38B08D6C" w14:textId="77777777" w:rsidR="00E5593B" w:rsidRDefault="00E5593B" w:rsidP="001B1BEE">
            <w:proofErr w:type="gramStart"/>
            <w:r w:rsidRPr="006F37F7">
              <w:rPr>
                <w:b/>
                <w:bCs/>
              </w:rPr>
              <w:t>humiliant</w:t>
            </w:r>
            <w:proofErr w:type="gramEnd"/>
            <w:r w:rsidRPr="006F37F7">
              <w:rPr>
                <w:b/>
                <w:bCs/>
              </w:rPr>
              <w:t xml:space="preserve"> ou offensant </w:t>
            </w:r>
            <w:r w:rsidRPr="006F37F7">
              <w:t>au travail pour la victime.</w:t>
            </w:r>
          </w:p>
        </w:tc>
        <w:tc>
          <w:tcPr>
            <w:tcW w:w="3606" w:type="dxa"/>
          </w:tcPr>
          <w:p w14:paraId="682E36E8" w14:textId="77777777" w:rsidR="00E5593B" w:rsidRPr="006F37F7" w:rsidRDefault="00E5593B" w:rsidP="001B1BEE">
            <w:r w:rsidRPr="006F37F7">
              <w:t>« Aucun fonctionnaire ne doit subir d'agissement sexiste, défini comme tout agissement</w:t>
            </w:r>
          </w:p>
          <w:p w14:paraId="4FFD57D8" w14:textId="77777777" w:rsidR="00E5593B" w:rsidRPr="006F37F7" w:rsidRDefault="00E5593B" w:rsidP="001B1BEE">
            <w:proofErr w:type="gramStart"/>
            <w:r w:rsidRPr="006F37F7">
              <w:t>lié</w:t>
            </w:r>
            <w:proofErr w:type="gramEnd"/>
            <w:r w:rsidRPr="006F37F7">
              <w:t xml:space="preserve"> au sexe d'une personne, ayant pour objet ou pour effet de porter atteinte à sa dignité</w:t>
            </w:r>
          </w:p>
          <w:p w14:paraId="451FD315" w14:textId="77777777" w:rsidR="00E5593B" w:rsidRPr="006F37F7" w:rsidRDefault="00E5593B" w:rsidP="001B1BEE">
            <w:proofErr w:type="gramStart"/>
            <w:r w:rsidRPr="006F37F7">
              <w:t>ou</w:t>
            </w:r>
            <w:proofErr w:type="gramEnd"/>
            <w:r w:rsidRPr="006F37F7">
              <w:t xml:space="preserve"> de créer un environnement intimidant, hostile, dégradant, humiliant ou offensant. »</w:t>
            </w:r>
          </w:p>
          <w:p w14:paraId="70F1AFC2" w14:textId="77777777" w:rsidR="00E5593B" w:rsidRDefault="00E5593B" w:rsidP="001B1BEE">
            <w:r w:rsidRPr="00D06785">
              <w:t>(</w:t>
            </w:r>
            <w:r>
              <w:t>Article L131-3 du Code Général de la Fonction Publique</w:t>
            </w:r>
            <w:r w:rsidRPr="00D06785">
              <w:t>)</w:t>
            </w:r>
          </w:p>
        </w:tc>
      </w:tr>
    </w:tbl>
    <w:p w14:paraId="611A23AF" w14:textId="77777777" w:rsidR="00E5593B" w:rsidRDefault="00E5593B" w:rsidP="00E5593B">
      <w:pPr>
        <w:jc w:val="both"/>
        <w:rPr>
          <w:color w:val="000000"/>
          <w:szCs w:val="24"/>
        </w:rPr>
      </w:pPr>
    </w:p>
    <w:p w14:paraId="42D7D4D5" w14:textId="2FAE7A3E" w:rsidR="00E5593B" w:rsidRDefault="00E5593B" w:rsidP="00E5593B">
      <w:pPr>
        <w:jc w:val="both"/>
        <w:rPr>
          <w:color w:val="000000"/>
          <w:szCs w:val="24"/>
        </w:rPr>
      </w:pPr>
      <w:r>
        <w:rPr>
          <w:color w:val="000000"/>
          <w:szCs w:val="24"/>
        </w:rPr>
        <w:t>Le harcèlement moral, quant à lui, est caractérisé par 3 principaux éléments </w:t>
      </w:r>
      <w:bookmarkStart w:id="16" w:name=""/>
      <w:r>
        <w:rPr>
          <w:color w:val="000000"/>
          <w:szCs w:val="24"/>
        </w:rPr>
        <w:t>(</w:t>
      </w:r>
      <w:r w:rsidRPr="0088333F">
        <w:t>Art. L1152-1, Code du travail</w:t>
      </w:r>
      <w:bookmarkEnd w:id="16"/>
      <w:r>
        <w:t>)</w:t>
      </w:r>
      <w:r w:rsidR="0088333F">
        <w:t xml:space="preserve"> </w:t>
      </w:r>
      <w:r>
        <w:rPr>
          <w:color w:val="000000"/>
          <w:szCs w:val="24"/>
        </w:rPr>
        <w:t xml:space="preserve">: </w:t>
      </w:r>
    </w:p>
    <w:p w14:paraId="6D0CBB34" w14:textId="77777777" w:rsidR="00E5593B" w:rsidRPr="00C84A71" w:rsidRDefault="00E5593B" w:rsidP="00E5593B">
      <w:pPr>
        <w:jc w:val="both"/>
        <w:rPr>
          <w:color w:val="000000"/>
          <w:szCs w:val="24"/>
        </w:rPr>
      </w:pPr>
      <w:r w:rsidRPr="00C84A71">
        <w:rPr>
          <w:color w:val="000000"/>
          <w:szCs w:val="24"/>
        </w:rPr>
        <w:t>- des agissements répétés,</w:t>
      </w:r>
    </w:p>
    <w:p w14:paraId="1C76B334" w14:textId="77777777" w:rsidR="00E5593B" w:rsidRPr="00C84A71" w:rsidRDefault="00E5593B" w:rsidP="00E5593B">
      <w:pPr>
        <w:jc w:val="both"/>
        <w:rPr>
          <w:color w:val="000000"/>
          <w:szCs w:val="24"/>
        </w:rPr>
      </w:pPr>
      <w:r w:rsidRPr="00C84A71">
        <w:rPr>
          <w:color w:val="000000"/>
          <w:szCs w:val="24"/>
        </w:rPr>
        <w:t>- une dégradation des conditions de travail du salarié,</w:t>
      </w:r>
    </w:p>
    <w:p w14:paraId="10C5885E" w14:textId="77777777" w:rsidR="00E5593B" w:rsidRDefault="00E5593B" w:rsidP="00E5593B">
      <w:pPr>
        <w:jc w:val="both"/>
        <w:rPr>
          <w:color w:val="000000"/>
          <w:szCs w:val="24"/>
        </w:rPr>
      </w:pPr>
      <w:r w:rsidRPr="00C84A71">
        <w:rPr>
          <w:color w:val="000000"/>
          <w:szCs w:val="24"/>
        </w:rPr>
        <w:t>- une atteinte aux droits et à la dignité du salarié, à sa santé physique ou mentale ou à son avenir professionnel.</w:t>
      </w:r>
    </w:p>
    <w:p w14:paraId="050D33A7" w14:textId="77777777" w:rsidR="00E5593B" w:rsidRDefault="00E5593B" w:rsidP="00E5593B">
      <w:pPr>
        <w:jc w:val="both"/>
        <w:rPr>
          <w:color w:val="000000"/>
          <w:szCs w:val="24"/>
        </w:rPr>
      </w:pPr>
    </w:p>
    <w:p w14:paraId="6683354E" w14:textId="77777777" w:rsidR="00E5593B" w:rsidRPr="000D2725" w:rsidRDefault="00E5593B" w:rsidP="00E5593B">
      <w:r w:rsidRPr="000D2725">
        <w:t xml:space="preserve">Une menace peut être de mort ou de commettre un crime ou un délit. Celle-ci peut s’exprimer sous la forme de chantage. </w:t>
      </w:r>
    </w:p>
    <w:p w14:paraId="52A0CE8C" w14:textId="77777777" w:rsidR="00E5593B" w:rsidRPr="000D2725" w:rsidRDefault="00E5593B" w:rsidP="00E5593B"/>
    <w:p w14:paraId="7E20A932" w14:textId="77777777" w:rsidR="00E5593B" w:rsidRDefault="00E5593B" w:rsidP="00E5593B">
      <w:pPr>
        <w:rPr>
          <w:b/>
          <w:u w:val="single"/>
        </w:rPr>
      </w:pPr>
      <w:r>
        <w:t>Le</w:t>
      </w:r>
      <w:r w:rsidRPr="000D2725">
        <w:t xml:space="preserve"> code pénal </w:t>
      </w:r>
      <w:r>
        <w:t>condamne le</w:t>
      </w:r>
      <w:r w:rsidRPr="000D2725">
        <w:t xml:space="preserve"> fait</w:t>
      </w:r>
      <w:r>
        <w:rPr>
          <w:b/>
          <w:u w:val="single"/>
        </w:rPr>
        <w:t xml:space="preserve"> </w:t>
      </w:r>
      <w:r>
        <w:t>d'user de menaces ou de violences ou de commettre tout autre acte d'intimidation</w:t>
      </w:r>
      <w:r w:rsidRPr="00430796">
        <w:t xml:space="preserve"> </w:t>
      </w:r>
      <w:r>
        <w:t>pour obtenir (…) soit qu'elle accomplisse ou s'abstienne d'accomplir un acte de sa fonction (Art 433-3) ainsi qu’à l'égard de toute personne participant à l'exécution d'une mission de service public, afin d'obtenir pour soi-même ou pour autrui une exemption totale ou partielle ou une application différenciée des règles qui régissent le fonctionnement dudit service (Art 433-3-1).</w:t>
      </w:r>
    </w:p>
    <w:p w14:paraId="4607E949" w14:textId="77777777" w:rsidR="00E5593B" w:rsidRDefault="00E5593B" w:rsidP="00E5593B">
      <w:pPr>
        <w:jc w:val="both"/>
        <w:rPr>
          <w:color w:val="000000"/>
          <w:szCs w:val="24"/>
        </w:rPr>
      </w:pPr>
    </w:p>
    <w:p w14:paraId="388D74C1" w14:textId="0AB6F803" w:rsidR="00E5593B" w:rsidRDefault="00E5593B" w:rsidP="00E5593B">
      <w:pPr>
        <w:jc w:val="both"/>
      </w:pPr>
      <w:r>
        <w:rPr>
          <w:color w:val="000000"/>
          <w:szCs w:val="24"/>
        </w:rPr>
        <w:t xml:space="preserve">Les </w:t>
      </w:r>
      <w:r>
        <w:t xml:space="preserve">articles </w:t>
      </w:r>
      <w:r w:rsidRPr="0088333F">
        <w:t>1132-1</w:t>
      </w:r>
      <w:r>
        <w:t xml:space="preserve"> et suivants du Code du travail, ainsi qu’aux articles </w:t>
      </w:r>
      <w:r w:rsidRPr="0088333F">
        <w:t xml:space="preserve">225-1 </w:t>
      </w:r>
      <w:r>
        <w:t xml:space="preserve">et suivants du Code pénal prévoient un principe de non-discrimination dans le cadre du travail, et ce dans de nombreuses situations : </w:t>
      </w:r>
      <w:r>
        <w:rPr>
          <w:rStyle w:val="lev"/>
        </w:rPr>
        <w:t xml:space="preserve">l'embauche </w:t>
      </w:r>
      <w:r>
        <w:t xml:space="preserve">d'un nouveau salarié, le </w:t>
      </w:r>
      <w:r>
        <w:rPr>
          <w:rStyle w:val="lev"/>
        </w:rPr>
        <w:t xml:space="preserve">licenciement </w:t>
      </w:r>
      <w:r>
        <w:t xml:space="preserve">d'un salarié, le </w:t>
      </w:r>
      <w:r>
        <w:rPr>
          <w:rStyle w:val="lev"/>
        </w:rPr>
        <w:t xml:space="preserve">renouvellement </w:t>
      </w:r>
      <w:r>
        <w:t xml:space="preserve">d'un contrat, la </w:t>
      </w:r>
      <w:r>
        <w:rPr>
          <w:rStyle w:val="lev"/>
        </w:rPr>
        <w:t xml:space="preserve">mutation </w:t>
      </w:r>
      <w:r>
        <w:t xml:space="preserve">ou </w:t>
      </w:r>
      <w:r>
        <w:rPr>
          <w:rStyle w:val="lev"/>
        </w:rPr>
        <w:t xml:space="preserve">promotion </w:t>
      </w:r>
      <w:r>
        <w:t xml:space="preserve">à un autre poste en interne, le </w:t>
      </w:r>
      <w:r>
        <w:rPr>
          <w:rStyle w:val="lev"/>
        </w:rPr>
        <w:t xml:space="preserve">salaire </w:t>
      </w:r>
      <w:r>
        <w:t xml:space="preserve">et toutes les formes de </w:t>
      </w:r>
      <w:proofErr w:type="gramStart"/>
      <w:r>
        <w:rPr>
          <w:rStyle w:val="lev"/>
        </w:rPr>
        <w:t>rémunération</w:t>
      </w:r>
      <w:r>
        <w:t xml:space="preserve"> ,</w:t>
      </w:r>
      <w:proofErr w:type="gramEnd"/>
      <w:r>
        <w:t xml:space="preserve"> la </w:t>
      </w:r>
      <w:r>
        <w:rPr>
          <w:rStyle w:val="lev"/>
        </w:rPr>
        <w:t>formation</w:t>
      </w:r>
      <w:r>
        <w:t xml:space="preserve">, le </w:t>
      </w:r>
      <w:r>
        <w:rPr>
          <w:rStyle w:val="lev"/>
        </w:rPr>
        <w:t>reclassement</w:t>
      </w:r>
      <w:r>
        <w:t xml:space="preserve">, ou les </w:t>
      </w:r>
      <w:r>
        <w:rPr>
          <w:rStyle w:val="lev"/>
        </w:rPr>
        <w:t xml:space="preserve">tâches </w:t>
      </w:r>
      <w:r>
        <w:t>confiées.</w:t>
      </w:r>
    </w:p>
    <w:p w14:paraId="25C4E4C9" w14:textId="77777777" w:rsidR="00E5593B" w:rsidRDefault="00E5593B" w:rsidP="00E5593B">
      <w:pPr>
        <w:jc w:val="both"/>
      </w:pPr>
    </w:p>
    <w:p w14:paraId="0D89B03D" w14:textId="77777777" w:rsidR="00E5593B" w:rsidRDefault="00E5593B" w:rsidP="00E5593B">
      <w:pPr>
        <w:jc w:val="both"/>
      </w:pPr>
      <w: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763AD6FE" w14:textId="7EFB25A2" w:rsidR="00E5593B" w:rsidRDefault="00E5593B" w:rsidP="00E5593B">
      <w:pPr>
        <w:jc w:val="both"/>
        <w:rPr>
          <w:highlight w:val="yellow"/>
        </w:rPr>
      </w:pPr>
    </w:p>
    <w:p w14:paraId="03DFAF37" w14:textId="37519218" w:rsidR="001A6C06" w:rsidRDefault="001A6C06" w:rsidP="00E5593B">
      <w:pPr>
        <w:jc w:val="both"/>
        <w:rPr>
          <w:highlight w:val="yellow"/>
        </w:rPr>
      </w:pPr>
    </w:p>
    <w:p w14:paraId="4F5E76A3" w14:textId="75FA35D6" w:rsidR="001A6C06" w:rsidRDefault="001A6C06" w:rsidP="00E5593B">
      <w:pPr>
        <w:jc w:val="both"/>
        <w:rPr>
          <w:highlight w:val="yellow"/>
        </w:rPr>
      </w:pPr>
    </w:p>
    <w:p w14:paraId="1AF03ECB" w14:textId="77777777" w:rsidR="001A6C06" w:rsidRDefault="001A6C06" w:rsidP="00E5593B">
      <w:pPr>
        <w:jc w:val="both"/>
        <w:rPr>
          <w:highlight w:val="yellow"/>
        </w:rPr>
      </w:pPr>
    </w:p>
    <w:p w14:paraId="4A56CF60" w14:textId="77777777" w:rsidR="00E5593B" w:rsidRDefault="00E5593B" w:rsidP="00E5593B">
      <w:pPr>
        <w:jc w:val="both"/>
        <w:rPr>
          <w:rFonts w:cs="Arial"/>
          <w:b/>
          <w:color w:val="00B0F0"/>
          <w:szCs w:val="24"/>
        </w:rPr>
      </w:pPr>
      <w:r w:rsidRPr="007E27AF">
        <w:rPr>
          <w:b/>
          <w:color w:val="FF0000"/>
        </w:rPr>
        <w:lastRenderedPageBreak/>
        <w:t xml:space="preserve">Nouveauté RSU 2021 : </w:t>
      </w:r>
      <w:r>
        <w:rPr>
          <w:rFonts w:cs="Arial"/>
          <w:b/>
          <w:color w:val="00B0F0"/>
          <w:szCs w:val="24"/>
        </w:rPr>
        <w:t>S’agit-il uniquement des suicides ou tentatives de suicide ayant eu lieu sur le lieu de travail</w:t>
      </w:r>
      <w:r w:rsidRPr="00761730">
        <w:rPr>
          <w:rFonts w:cs="Arial"/>
          <w:b/>
          <w:color w:val="00B0F0"/>
          <w:szCs w:val="24"/>
        </w:rPr>
        <w:t xml:space="preserve"> ?</w:t>
      </w:r>
    </w:p>
    <w:p w14:paraId="64C29338" w14:textId="43F9310F" w:rsidR="00E5593B" w:rsidRPr="000044F2" w:rsidRDefault="00E5593B" w:rsidP="00E5593B">
      <w:pPr>
        <w:jc w:val="both"/>
        <w:rPr>
          <w:rFonts w:cs="Arial"/>
          <w:i/>
          <w:color w:val="E36C0A" w:themeColor="accent6" w:themeShade="BF"/>
          <w:szCs w:val="24"/>
        </w:rPr>
      </w:pPr>
      <w:r w:rsidRPr="001133EE">
        <w:rPr>
          <w:rFonts w:cs="Arial"/>
          <w:i/>
          <w:color w:val="E36C0A" w:themeColor="accent6" w:themeShade="BF"/>
          <w:szCs w:val="24"/>
        </w:rPr>
        <w:t xml:space="preserve">Indicateur </w:t>
      </w:r>
      <w:r>
        <w:rPr>
          <w:rFonts w:cs="Arial"/>
          <w:i/>
          <w:color w:val="E36C0A" w:themeColor="accent6" w:themeShade="BF"/>
          <w:szCs w:val="24"/>
        </w:rPr>
        <w:t>4.5.1</w:t>
      </w:r>
      <w:r w:rsidRPr="0089439C">
        <w:rPr>
          <w:rFonts w:cs="Arial"/>
          <w:i/>
          <w:color w:val="E36C0A" w:themeColor="accent6" w:themeShade="BF"/>
          <w:szCs w:val="24"/>
        </w:rPr>
        <w:t xml:space="preserve"> </w:t>
      </w:r>
      <w:r>
        <w:rPr>
          <w:rFonts w:cs="Arial"/>
          <w:i/>
          <w:color w:val="E36C0A" w:themeColor="accent6" w:themeShade="BF"/>
          <w:szCs w:val="24"/>
        </w:rPr>
        <w:t xml:space="preserve">– « Suicides au cours de l’année »  </w:t>
      </w:r>
    </w:p>
    <w:p w14:paraId="1796C076" w14:textId="4DD5F966" w:rsidR="00E5593B" w:rsidRDefault="00E5593B" w:rsidP="00E5593B">
      <w:pPr>
        <w:jc w:val="both"/>
      </w:pPr>
      <w:r w:rsidRPr="000B0B60">
        <w:rPr>
          <w:b/>
        </w:rPr>
        <w:t>Non</w:t>
      </w:r>
      <w:r>
        <w:t>, il s’agit des tentatives de suicide ou suicide</w:t>
      </w:r>
      <w:r w:rsidR="00145914">
        <w:t>s</w:t>
      </w:r>
      <w:r>
        <w:t xml:space="preserve"> déclarés et reconnus imputables au service au cours de l’année. </w:t>
      </w:r>
    </w:p>
    <w:p w14:paraId="7CD4099C" w14:textId="77777777" w:rsidR="00E5593B" w:rsidRDefault="00E5593B" w:rsidP="000A727B"/>
    <w:p w14:paraId="17BE1496" w14:textId="72287783" w:rsidR="0098425E" w:rsidRDefault="0098425E" w:rsidP="00BD228F">
      <w:pPr>
        <w:jc w:val="center"/>
      </w:pPr>
    </w:p>
    <w:p w14:paraId="157DBF33" w14:textId="141CBC81" w:rsidR="0098425E" w:rsidRDefault="0098425E" w:rsidP="00BD228F">
      <w:pPr>
        <w:jc w:val="center"/>
      </w:pPr>
    </w:p>
    <w:p w14:paraId="2D786473" w14:textId="7EB26378" w:rsidR="0098425E" w:rsidRDefault="0098425E" w:rsidP="00BD228F">
      <w:pPr>
        <w:jc w:val="center"/>
      </w:pPr>
    </w:p>
    <w:p w14:paraId="1C9EEEAD" w14:textId="183734E6" w:rsidR="0098425E" w:rsidRDefault="0098425E" w:rsidP="00BD228F">
      <w:pPr>
        <w:jc w:val="center"/>
      </w:pPr>
    </w:p>
    <w:p w14:paraId="18F50B10" w14:textId="0BB61E70" w:rsidR="0098425E" w:rsidRDefault="0098425E" w:rsidP="00BD228F">
      <w:pPr>
        <w:jc w:val="center"/>
      </w:pPr>
    </w:p>
    <w:p w14:paraId="64BA55F3" w14:textId="5B802C02" w:rsidR="0098425E" w:rsidRDefault="0098425E" w:rsidP="00BD228F">
      <w:pPr>
        <w:jc w:val="center"/>
      </w:pPr>
    </w:p>
    <w:p w14:paraId="5F2535AC" w14:textId="3188E55F" w:rsidR="0098425E" w:rsidRDefault="0098425E" w:rsidP="00BD228F">
      <w:pPr>
        <w:jc w:val="center"/>
      </w:pPr>
    </w:p>
    <w:p w14:paraId="6BD437D7" w14:textId="476F1423" w:rsidR="0098425E" w:rsidRDefault="0098425E" w:rsidP="00BD228F">
      <w:pPr>
        <w:jc w:val="center"/>
      </w:pPr>
    </w:p>
    <w:p w14:paraId="0B646540" w14:textId="258CF642" w:rsidR="0098425E" w:rsidRDefault="0098425E" w:rsidP="00BD228F">
      <w:pPr>
        <w:jc w:val="center"/>
      </w:pPr>
    </w:p>
    <w:p w14:paraId="2BD009AF" w14:textId="671051E4" w:rsidR="0098425E" w:rsidRDefault="0098425E" w:rsidP="00BD228F">
      <w:pPr>
        <w:jc w:val="center"/>
      </w:pPr>
    </w:p>
    <w:p w14:paraId="7822976E" w14:textId="62183D9C" w:rsidR="0098425E" w:rsidRDefault="0098425E" w:rsidP="00BD228F">
      <w:pPr>
        <w:jc w:val="center"/>
      </w:pPr>
    </w:p>
    <w:p w14:paraId="5700842E" w14:textId="49DBB1E0" w:rsidR="0098425E" w:rsidRDefault="0098425E" w:rsidP="00BD228F">
      <w:pPr>
        <w:jc w:val="center"/>
      </w:pPr>
    </w:p>
    <w:p w14:paraId="0C43BE10" w14:textId="1DDF1D91" w:rsidR="0098425E" w:rsidRDefault="0098425E" w:rsidP="00BD228F">
      <w:pPr>
        <w:jc w:val="center"/>
      </w:pPr>
    </w:p>
    <w:p w14:paraId="137E0E88" w14:textId="216CE362" w:rsidR="0098425E" w:rsidRDefault="0098425E" w:rsidP="00BD228F">
      <w:pPr>
        <w:jc w:val="center"/>
      </w:pPr>
    </w:p>
    <w:p w14:paraId="695BEE3B" w14:textId="06CF4027" w:rsidR="00E5593B" w:rsidRDefault="00E5593B" w:rsidP="00BD228F">
      <w:pPr>
        <w:jc w:val="center"/>
      </w:pPr>
    </w:p>
    <w:p w14:paraId="57DCCF2A" w14:textId="4D046489" w:rsidR="00E5593B" w:rsidRDefault="00E5593B" w:rsidP="00BD228F">
      <w:pPr>
        <w:jc w:val="center"/>
      </w:pPr>
    </w:p>
    <w:p w14:paraId="3C91B349" w14:textId="3C97D75A" w:rsidR="00E5593B" w:rsidRDefault="00E5593B" w:rsidP="00BD228F">
      <w:pPr>
        <w:jc w:val="center"/>
      </w:pPr>
    </w:p>
    <w:p w14:paraId="282D7DC0" w14:textId="743DF15C" w:rsidR="00E5593B" w:rsidRDefault="00E5593B" w:rsidP="00BD228F">
      <w:pPr>
        <w:jc w:val="center"/>
      </w:pPr>
    </w:p>
    <w:p w14:paraId="0761429F" w14:textId="39458C54" w:rsidR="00E5593B" w:rsidRDefault="00E5593B" w:rsidP="00BD228F">
      <w:pPr>
        <w:jc w:val="center"/>
      </w:pPr>
    </w:p>
    <w:p w14:paraId="3C253FB1" w14:textId="7C094695" w:rsidR="00E5593B" w:rsidRDefault="00E5593B" w:rsidP="00BD228F">
      <w:pPr>
        <w:jc w:val="center"/>
      </w:pPr>
    </w:p>
    <w:p w14:paraId="0AE5C7CE" w14:textId="2C2EDF1D" w:rsidR="00E5593B" w:rsidRDefault="00E5593B" w:rsidP="00BD228F">
      <w:pPr>
        <w:jc w:val="center"/>
      </w:pPr>
    </w:p>
    <w:p w14:paraId="1D3214A2" w14:textId="254E4E10" w:rsidR="00E5593B" w:rsidRDefault="00E5593B" w:rsidP="00BD228F">
      <w:pPr>
        <w:jc w:val="center"/>
      </w:pPr>
    </w:p>
    <w:p w14:paraId="48159307" w14:textId="7EB65DDD" w:rsidR="00E5593B" w:rsidRDefault="00E5593B" w:rsidP="00BD228F">
      <w:pPr>
        <w:jc w:val="center"/>
      </w:pPr>
    </w:p>
    <w:p w14:paraId="353BDDD3" w14:textId="54B9A8EA" w:rsidR="00E5593B" w:rsidRDefault="00E5593B" w:rsidP="00BD228F">
      <w:pPr>
        <w:jc w:val="center"/>
      </w:pPr>
    </w:p>
    <w:p w14:paraId="7191FADD" w14:textId="0851D2AB" w:rsidR="00E5593B" w:rsidRDefault="00E5593B" w:rsidP="00BD228F">
      <w:pPr>
        <w:jc w:val="center"/>
      </w:pPr>
    </w:p>
    <w:p w14:paraId="460BB0A1" w14:textId="4983E768" w:rsidR="00E5593B" w:rsidRDefault="00E5593B" w:rsidP="00BD228F">
      <w:pPr>
        <w:jc w:val="center"/>
      </w:pPr>
    </w:p>
    <w:p w14:paraId="64514F3B" w14:textId="1E596B18" w:rsidR="00E5593B" w:rsidRDefault="00E5593B" w:rsidP="00BD228F">
      <w:pPr>
        <w:jc w:val="center"/>
      </w:pPr>
    </w:p>
    <w:p w14:paraId="676E3755" w14:textId="0A4D99E4" w:rsidR="00E5593B" w:rsidRDefault="00E5593B" w:rsidP="00BD228F">
      <w:pPr>
        <w:jc w:val="center"/>
      </w:pPr>
    </w:p>
    <w:p w14:paraId="5E15636B" w14:textId="7593E46C" w:rsidR="00E5593B" w:rsidRDefault="00E5593B" w:rsidP="00BD228F">
      <w:pPr>
        <w:jc w:val="center"/>
      </w:pPr>
    </w:p>
    <w:p w14:paraId="45AEFA4C" w14:textId="77777777" w:rsidR="00E5593B" w:rsidRDefault="00E5593B" w:rsidP="00BD228F">
      <w:pPr>
        <w:jc w:val="center"/>
      </w:pPr>
    </w:p>
    <w:p w14:paraId="321D7362" w14:textId="2EE046A0" w:rsidR="0098425E" w:rsidRDefault="0098425E" w:rsidP="00BD228F">
      <w:pPr>
        <w:jc w:val="center"/>
      </w:pPr>
    </w:p>
    <w:p w14:paraId="6D0241A9" w14:textId="0A9DF2EC" w:rsidR="0098425E" w:rsidRDefault="0098425E" w:rsidP="00BD228F">
      <w:pPr>
        <w:jc w:val="center"/>
      </w:pPr>
    </w:p>
    <w:p w14:paraId="5F38CDDB" w14:textId="77777777" w:rsidR="00792EFA" w:rsidRDefault="00792EFA">
      <w:pPr>
        <w:overflowPunct/>
        <w:autoSpaceDE/>
        <w:autoSpaceDN/>
        <w:adjustRightInd/>
        <w:textAlignment w:val="auto"/>
        <w:rPr>
          <w:rFonts w:eastAsiaTheme="majorEastAsia" w:cstheme="majorBidi"/>
          <w:b/>
          <w:bCs/>
          <w:color w:val="00B050"/>
          <w:sz w:val="32"/>
          <w:szCs w:val="28"/>
          <w:u w:val="single"/>
        </w:rPr>
      </w:pPr>
      <w:bookmarkStart w:id="17" w:name="_Toc104276129"/>
      <w:r>
        <w:br w:type="page"/>
      </w:r>
    </w:p>
    <w:p w14:paraId="06F8E477" w14:textId="03C6084B" w:rsidR="0098425E" w:rsidRPr="00072FE1" w:rsidRDefault="0098425E" w:rsidP="00563D72">
      <w:pPr>
        <w:pStyle w:val="Titre1"/>
      </w:pPr>
      <w:r w:rsidRPr="00072FE1">
        <w:lastRenderedPageBreak/>
        <w:t>Formation</w:t>
      </w:r>
      <w:bookmarkEnd w:id="17"/>
    </w:p>
    <w:p w14:paraId="15615DFC" w14:textId="77777777" w:rsidR="0098425E" w:rsidRDefault="0098425E" w:rsidP="0098425E">
      <w:pPr>
        <w:pStyle w:val="Default"/>
        <w:jc w:val="both"/>
        <w:rPr>
          <w:b/>
          <w:i/>
          <w:sz w:val="16"/>
          <w:szCs w:val="32"/>
          <w:u w:val="single"/>
        </w:rPr>
      </w:pPr>
    </w:p>
    <w:p w14:paraId="535F3B3A" w14:textId="77777777" w:rsidR="0098425E" w:rsidRPr="00DE389B" w:rsidRDefault="0098425E" w:rsidP="0098425E">
      <w:pPr>
        <w:pStyle w:val="Default"/>
        <w:jc w:val="both"/>
        <w:rPr>
          <w:i/>
          <w:sz w:val="16"/>
          <w:szCs w:val="32"/>
        </w:rPr>
      </w:pPr>
    </w:p>
    <w:p w14:paraId="07700022" w14:textId="77777777" w:rsidR="0098425E" w:rsidRDefault="0098425E" w:rsidP="0098425E">
      <w:pPr>
        <w:pStyle w:val="Default"/>
        <w:jc w:val="both"/>
        <w:rPr>
          <w:color w:val="00AFEF"/>
          <w:sz w:val="23"/>
          <w:szCs w:val="23"/>
        </w:rPr>
      </w:pPr>
      <w:r>
        <w:rPr>
          <w:b/>
          <w:bCs/>
          <w:color w:val="00AFEF"/>
          <w:sz w:val="23"/>
          <w:szCs w:val="23"/>
        </w:rPr>
        <w:t xml:space="preserve">Comment compter un départ en formation ? </w:t>
      </w:r>
    </w:p>
    <w:p w14:paraId="6EC1C694" w14:textId="77777777" w:rsidR="0098425E" w:rsidRDefault="0098425E" w:rsidP="0098425E">
      <w:pPr>
        <w:pStyle w:val="Default"/>
        <w:jc w:val="both"/>
        <w:rPr>
          <w:color w:val="E26B08"/>
          <w:sz w:val="23"/>
          <w:szCs w:val="23"/>
        </w:rPr>
      </w:pPr>
      <w:r>
        <w:rPr>
          <w:i/>
          <w:iCs/>
          <w:color w:val="E26B08"/>
          <w:sz w:val="23"/>
          <w:szCs w:val="23"/>
        </w:rPr>
        <w:t xml:space="preserve">Indicateurs </w:t>
      </w:r>
      <w:r w:rsidRPr="007E1017">
        <w:rPr>
          <w:i/>
          <w:iCs/>
          <w:color w:val="E26B08"/>
          <w:sz w:val="23"/>
          <w:szCs w:val="23"/>
        </w:rPr>
        <w:t>5.1.1.1</w:t>
      </w:r>
      <w:r>
        <w:rPr>
          <w:i/>
          <w:iCs/>
          <w:color w:val="E26B08"/>
          <w:sz w:val="23"/>
          <w:szCs w:val="23"/>
        </w:rPr>
        <w:t xml:space="preserve"> – « Tableau récapitulatif - Agents titulaires, stagiaires et contractuels sur un emploi permanent ayant participé à au moins une formation en </w:t>
      </w:r>
      <w:r w:rsidRPr="007E1017">
        <w:rPr>
          <w:i/>
          <w:iCs/>
          <w:color w:val="E26B08"/>
          <w:sz w:val="23"/>
          <w:szCs w:val="23"/>
        </w:rPr>
        <w:t>2021</w:t>
      </w:r>
      <w:r>
        <w:rPr>
          <w:i/>
          <w:iCs/>
          <w:color w:val="E26B08"/>
          <w:sz w:val="23"/>
          <w:szCs w:val="23"/>
        </w:rPr>
        <w:t xml:space="preserve"> » et </w:t>
      </w:r>
      <w:r w:rsidRPr="007E1017">
        <w:rPr>
          <w:i/>
          <w:iCs/>
          <w:color w:val="E26B08"/>
          <w:sz w:val="23"/>
          <w:szCs w:val="23"/>
        </w:rPr>
        <w:t>5.1.1.2</w:t>
      </w:r>
      <w:r>
        <w:rPr>
          <w:i/>
          <w:iCs/>
          <w:color w:val="E26B08"/>
          <w:sz w:val="23"/>
          <w:szCs w:val="23"/>
        </w:rPr>
        <w:t xml:space="preserve">.1 – « Journées de formation suivies par les agents titulaires, stagiaires et contractuels sur un emploi permanent et nombre d'agents sur emploi permanent ayant participé à au moins une journée de formation en </w:t>
      </w:r>
      <w:r w:rsidRPr="007E1017">
        <w:rPr>
          <w:i/>
          <w:iCs/>
          <w:color w:val="E26B08"/>
          <w:sz w:val="23"/>
          <w:szCs w:val="23"/>
        </w:rPr>
        <w:t>2021</w:t>
      </w:r>
      <w:r>
        <w:rPr>
          <w:i/>
          <w:iCs/>
          <w:color w:val="E26B08"/>
          <w:sz w:val="23"/>
          <w:szCs w:val="23"/>
        </w:rPr>
        <w:t xml:space="preserve"> ». </w:t>
      </w:r>
    </w:p>
    <w:p w14:paraId="1AEC1EBE" w14:textId="77777777" w:rsidR="0098425E" w:rsidRDefault="0098425E" w:rsidP="0098425E">
      <w:pPr>
        <w:pStyle w:val="Default"/>
        <w:jc w:val="both"/>
        <w:rPr>
          <w:sz w:val="23"/>
          <w:szCs w:val="23"/>
        </w:rPr>
      </w:pPr>
      <w:r>
        <w:rPr>
          <w:sz w:val="23"/>
          <w:szCs w:val="23"/>
        </w:rPr>
        <w:t xml:space="preserve">Un premier indicateur recense uniquement le nombre d’agents partis en formation au moins une fois dans l’année, quel que soit le nombre de formations suivies. Néanmoins, la déclinaison par type de formation peut amener à comptabiliser plusieurs fois un même agent, si celui-ci a suivi des formations de différents types. </w:t>
      </w:r>
    </w:p>
    <w:p w14:paraId="6F6425FA" w14:textId="77777777" w:rsidR="0098425E" w:rsidRDefault="0098425E" w:rsidP="0098425E">
      <w:pPr>
        <w:pStyle w:val="Default"/>
        <w:jc w:val="both"/>
        <w:rPr>
          <w:sz w:val="23"/>
          <w:szCs w:val="23"/>
        </w:rPr>
      </w:pPr>
      <w:r>
        <w:rPr>
          <w:sz w:val="23"/>
          <w:szCs w:val="23"/>
        </w:rPr>
        <w:t xml:space="preserve">Les agents à comptabiliser à l’indicateur </w:t>
      </w:r>
      <w:r w:rsidRPr="007E1017">
        <w:rPr>
          <w:sz w:val="23"/>
          <w:szCs w:val="23"/>
        </w:rPr>
        <w:t>5.1.1.1</w:t>
      </w:r>
      <w:r>
        <w:rPr>
          <w:sz w:val="23"/>
          <w:szCs w:val="23"/>
        </w:rPr>
        <w:t xml:space="preserve"> sont les agents partis en formation au cours de l’année </w:t>
      </w:r>
      <w:r w:rsidRPr="007E1017">
        <w:rPr>
          <w:sz w:val="23"/>
          <w:szCs w:val="23"/>
        </w:rPr>
        <w:t>2021</w:t>
      </w:r>
      <w:r>
        <w:rPr>
          <w:sz w:val="23"/>
          <w:szCs w:val="23"/>
        </w:rPr>
        <w:t xml:space="preserve"> et qui font partie des effectifs au 31.12.</w:t>
      </w:r>
      <w:r w:rsidRPr="007E1017">
        <w:rPr>
          <w:sz w:val="23"/>
          <w:szCs w:val="23"/>
        </w:rPr>
        <w:t>2021</w:t>
      </w:r>
      <w:r>
        <w:rPr>
          <w:sz w:val="23"/>
          <w:szCs w:val="23"/>
        </w:rPr>
        <w:t xml:space="preserve">. Les agents ayant quitté la collectivité ne sont pas à recenser. </w:t>
      </w:r>
    </w:p>
    <w:p w14:paraId="7011E88B" w14:textId="77777777" w:rsidR="0098425E" w:rsidRDefault="0098425E" w:rsidP="0098425E">
      <w:pPr>
        <w:pStyle w:val="Default"/>
        <w:jc w:val="both"/>
        <w:rPr>
          <w:sz w:val="23"/>
          <w:szCs w:val="23"/>
        </w:rPr>
      </w:pPr>
    </w:p>
    <w:p w14:paraId="7A131F18" w14:textId="77777777" w:rsidR="0098425E" w:rsidRDefault="0098425E" w:rsidP="0098425E">
      <w:pPr>
        <w:pStyle w:val="Default"/>
        <w:jc w:val="both"/>
        <w:rPr>
          <w:color w:val="00AFEF"/>
          <w:sz w:val="23"/>
          <w:szCs w:val="23"/>
        </w:rPr>
      </w:pPr>
      <w:r>
        <w:rPr>
          <w:b/>
          <w:bCs/>
          <w:color w:val="00AFEF"/>
          <w:sz w:val="23"/>
          <w:szCs w:val="23"/>
        </w:rPr>
        <w:t xml:space="preserve">Les jours de formation des agents sur emploi permanent ayant quitté la collectivité au cours de l’année </w:t>
      </w:r>
      <w:r w:rsidRPr="0062616E">
        <w:rPr>
          <w:b/>
          <w:bCs/>
          <w:color w:val="00AFEF"/>
          <w:sz w:val="23"/>
          <w:szCs w:val="23"/>
        </w:rPr>
        <w:t>2021</w:t>
      </w:r>
      <w:r w:rsidRPr="00FD70DA">
        <w:rPr>
          <w:b/>
          <w:bCs/>
          <w:color w:val="00AFEF"/>
          <w:sz w:val="23"/>
          <w:szCs w:val="23"/>
        </w:rPr>
        <w:t xml:space="preserve"> </w:t>
      </w:r>
      <w:r>
        <w:rPr>
          <w:b/>
          <w:bCs/>
          <w:color w:val="00AFEF"/>
          <w:sz w:val="23"/>
          <w:szCs w:val="23"/>
        </w:rPr>
        <w:t xml:space="preserve">sont-ils à recenser ? </w:t>
      </w:r>
    </w:p>
    <w:p w14:paraId="4A9CCCA3" w14:textId="77777777" w:rsidR="0098425E" w:rsidRPr="00B5355D" w:rsidRDefault="0098425E" w:rsidP="0098425E">
      <w:pPr>
        <w:pStyle w:val="Default"/>
        <w:jc w:val="both"/>
        <w:rPr>
          <w:i/>
          <w:iCs/>
          <w:color w:val="E26B08"/>
          <w:sz w:val="23"/>
          <w:szCs w:val="23"/>
        </w:rPr>
      </w:pPr>
      <w:r w:rsidRPr="00B5355D">
        <w:rPr>
          <w:i/>
          <w:color w:val="E26B08"/>
          <w:sz w:val="23"/>
          <w:szCs w:val="23"/>
        </w:rPr>
        <w:t xml:space="preserve">Indicateur 5.1.1.2.1 – « </w:t>
      </w:r>
      <w:r w:rsidRPr="00B5355D">
        <w:rPr>
          <w:i/>
          <w:iCs/>
          <w:color w:val="E26B08"/>
          <w:sz w:val="23"/>
          <w:szCs w:val="23"/>
        </w:rPr>
        <w:t>Journées de formation suivies par les fonctionnaires titulaires, stagiaires et contractuels sur un emploi permanent présents au 31.12.2021 et nombre d'agents sur emploi permanent ayant participé à au moins une journée de formation en 2021 »</w:t>
      </w:r>
      <w:r>
        <w:rPr>
          <w:i/>
          <w:iCs/>
          <w:color w:val="E26B08"/>
          <w:sz w:val="23"/>
          <w:szCs w:val="23"/>
        </w:rPr>
        <w:t>.</w:t>
      </w:r>
      <w:r w:rsidRPr="00B5355D">
        <w:rPr>
          <w:i/>
          <w:iCs/>
          <w:color w:val="E26B08"/>
          <w:sz w:val="23"/>
          <w:szCs w:val="23"/>
        </w:rPr>
        <w:t xml:space="preserve"> </w:t>
      </w:r>
    </w:p>
    <w:p w14:paraId="7C6358DC" w14:textId="77777777" w:rsidR="0098425E" w:rsidRDefault="0098425E" w:rsidP="0098425E">
      <w:pPr>
        <w:pStyle w:val="Default"/>
        <w:jc w:val="both"/>
        <w:rPr>
          <w:sz w:val="23"/>
          <w:szCs w:val="23"/>
        </w:rPr>
      </w:pPr>
      <w:r>
        <w:rPr>
          <w:sz w:val="23"/>
          <w:szCs w:val="23"/>
        </w:rPr>
        <w:t>Non. Seuls les jours de formation des agents présents au 31.12.</w:t>
      </w:r>
      <w:r w:rsidRPr="006D11A4">
        <w:rPr>
          <w:sz w:val="23"/>
          <w:szCs w:val="23"/>
        </w:rPr>
        <w:t xml:space="preserve">2021 </w:t>
      </w:r>
      <w:r>
        <w:rPr>
          <w:sz w:val="23"/>
          <w:szCs w:val="23"/>
        </w:rPr>
        <w:t xml:space="preserve">sont à comptabiliser. </w:t>
      </w:r>
    </w:p>
    <w:p w14:paraId="0A54F35A" w14:textId="77777777" w:rsidR="0098425E" w:rsidRDefault="0098425E" w:rsidP="0098425E">
      <w:pPr>
        <w:pStyle w:val="Default"/>
        <w:jc w:val="both"/>
        <w:rPr>
          <w:sz w:val="23"/>
          <w:szCs w:val="23"/>
        </w:rPr>
      </w:pPr>
    </w:p>
    <w:p w14:paraId="780867E2" w14:textId="77777777" w:rsidR="0098425E" w:rsidRDefault="0098425E" w:rsidP="0098425E">
      <w:pPr>
        <w:pStyle w:val="Default"/>
        <w:jc w:val="both"/>
        <w:rPr>
          <w:color w:val="00AFEF"/>
          <w:sz w:val="23"/>
          <w:szCs w:val="23"/>
        </w:rPr>
      </w:pPr>
      <w:r>
        <w:rPr>
          <w:b/>
          <w:bCs/>
          <w:color w:val="00AFEF"/>
          <w:sz w:val="23"/>
          <w:szCs w:val="23"/>
        </w:rPr>
        <w:t xml:space="preserve">Quelles sont les formations qui doivent être comptabilisées parmi les formations prévues par les statuts particuliers ? </w:t>
      </w:r>
    </w:p>
    <w:p w14:paraId="75863F09" w14:textId="77777777" w:rsidR="0098425E" w:rsidRPr="00B5355D" w:rsidRDefault="0098425E" w:rsidP="0098425E">
      <w:pPr>
        <w:pStyle w:val="Default"/>
        <w:jc w:val="both"/>
        <w:rPr>
          <w:i/>
          <w:color w:val="E26B08"/>
          <w:sz w:val="23"/>
          <w:szCs w:val="23"/>
        </w:rPr>
      </w:pPr>
      <w:r w:rsidRPr="00B5355D">
        <w:rPr>
          <w:i/>
          <w:color w:val="E26B08"/>
          <w:sz w:val="23"/>
          <w:szCs w:val="23"/>
        </w:rPr>
        <w:t>Indicateur 5.1.1.2.1 – « Journées de formation suivies par les fonctionnaires titulaires, stagiaires et contractuels sur un emploi permanent présents au 31.12.2021 et nombre d'agents sur emploi permanent ayant participé à au moins une journée de formation en 2021 »</w:t>
      </w:r>
      <w:r>
        <w:rPr>
          <w:i/>
          <w:color w:val="E26B08"/>
          <w:sz w:val="23"/>
          <w:szCs w:val="23"/>
        </w:rPr>
        <w:t>.</w:t>
      </w:r>
      <w:r w:rsidRPr="00B5355D">
        <w:rPr>
          <w:i/>
          <w:color w:val="E26B08"/>
          <w:sz w:val="23"/>
          <w:szCs w:val="23"/>
        </w:rPr>
        <w:t xml:space="preserve"> </w:t>
      </w:r>
    </w:p>
    <w:p w14:paraId="3A2D38E0" w14:textId="77777777" w:rsidR="0098425E" w:rsidRDefault="0098425E" w:rsidP="0098425E">
      <w:pPr>
        <w:pStyle w:val="Default"/>
        <w:jc w:val="both"/>
        <w:rPr>
          <w:sz w:val="23"/>
          <w:szCs w:val="23"/>
        </w:rPr>
      </w:pPr>
      <w:r>
        <w:rPr>
          <w:sz w:val="23"/>
          <w:szCs w:val="23"/>
        </w:rPr>
        <w:t xml:space="preserve">Les formations prévues par les statuts particuliers concernent toutes les formations obligatoires et sont à renseigner sur deux lignes distinctes (avec une ligne de totalisation automatique) : </w:t>
      </w:r>
    </w:p>
    <w:p w14:paraId="73EBC5E9" w14:textId="77777777" w:rsidR="0098425E" w:rsidRDefault="0098425E" w:rsidP="0098425E">
      <w:pPr>
        <w:pStyle w:val="Default"/>
        <w:numPr>
          <w:ilvl w:val="0"/>
          <w:numId w:val="29"/>
        </w:numPr>
        <w:jc w:val="both"/>
        <w:rPr>
          <w:sz w:val="23"/>
          <w:szCs w:val="23"/>
        </w:rPr>
      </w:pPr>
      <w:r w:rsidRPr="000E06C2">
        <w:rPr>
          <w:sz w:val="23"/>
          <w:szCs w:val="23"/>
        </w:rPr>
        <w:t>Formation d'intégration (</w:t>
      </w:r>
      <w:proofErr w:type="gramStart"/>
      <w:r w:rsidRPr="000E06C2">
        <w:rPr>
          <w:sz w:val="23"/>
          <w:szCs w:val="23"/>
        </w:rPr>
        <w:t>suite à une</w:t>
      </w:r>
      <w:proofErr w:type="gramEnd"/>
      <w:r w:rsidRPr="000E06C2">
        <w:rPr>
          <w:sz w:val="23"/>
          <w:szCs w:val="23"/>
        </w:rPr>
        <w:t xml:space="preserve"> nomination stagiaire obligatoire pour la titularisation de l’agent) ;</w:t>
      </w:r>
    </w:p>
    <w:p w14:paraId="371461FF" w14:textId="77777777" w:rsidR="0098425E" w:rsidRPr="000E06C2" w:rsidRDefault="0098425E" w:rsidP="0098425E">
      <w:pPr>
        <w:pStyle w:val="Default"/>
        <w:numPr>
          <w:ilvl w:val="0"/>
          <w:numId w:val="29"/>
        </w:numPr>
        <w:jc w:val="both"/>
        <w:rPr>
          <w:sz w:val="23"/>
          <w:szCs w:val="23"/>
        </w:rPr>
      </w:pPr>
      <w:r>
        <w:rPr>
          <w:sz w:val="23"/>
          <w:szCs w:val="23"/>
        </w:rPr>
        <w:t>F</w:t>
      </w:r>
      <w:r w:rsidRPr="000E06C2">
        <w:rPr>
          <w:sz w:val="23"/>
          <w:szCs w:val="23"/>
        </w:rPr>
        <w:t xml:space="preserve">ormation de professionnalisation (ayant pour but de développer ou d'acquérir des compétences). </w:t>
      </w:r>
    </w:p>
    <w:p w14:paraId="24005246" w14:textId="77777777" w:rsidR="0098425E" w:rsidRPr="00047C4E" w:rsidRDefault="0098425E" w:rsidP="0098425E">
      <w:pPr>
        <w:pStyle w:val="Default"/>
        <w:jc w:val="both"/>
        <w:rPr>
          <w:sz w:val="23"/>
          <w:szCs w:val="23"/>
        </w:rPr>
      </w:pPr>
      <w:r w:rsidRPr="00047C4E">
        <w:rPr>
          <w:sz w:val="23"/>
          <w:szCs w:val="23"/>
        </w:rPr>
        <w:t xml:space="preserve">Rentrent également dans ce cadre, les actions de formation relatives à l'hygiène et à la sécurité qui sont prévues par le </w:t>
      </w:r>
      <w:r w:rsidRPr="005A628C">
        <w:rPr>
          <w:sz w:val="23"/>
          <w:szCs w:val="23"/>
        </w:rPr>
        <w:t>décret du 10 juin 1985</w:t>
      </w:r>
      <w:r w:rsidRPr="00047C4E">
        <w:rPr>
          <w:sz w:val="23"/>
          <w:szCs w:val="23"/>
        </w:rPr>
        <w:t xml:space="preserve"> pour les assistants de prévention, conseillers de prévention et pour tous les agents. </w:t>
      </w:r>
    </w:p>
    <w:p w14:paraId="3B610AB7" w14:textId="77777777" w:rsidR="0098425E" w:rsidRDefault="0098425E" w:rsidP="0098425E">
      <w:pPr>
        <w:pStyle w:val="Default"/>
        <w:jc w:val="both"/>
        <w:rPr>
          <w:sz w:val="23"/>
          <w:szCs w:val="23"/>
        </w:rPr>
      </w:pPr>
    </w:p>
    <w:p w14:paraId="14E4ECAB" w14:textId="77777777" w:rsidR="0098425E" w:rsidRDefault="0098425E" w:rsidP="0098425E">
      <w:pPr>
        <w:pStyle w:val="Default"/>
        <w:jc w:val="both"/>
        <w:rPr>
          <w:color w:val="00AFEF"/>
          <w:sz w:val="23"/>
          <w:szCs w:val="23"/>
        </w:rPr>
      </w:pPr>
      <w:r>
        <w:rPr>
          <w:b/>
          <w:bCs/>
          <w:color w:val="00AFEF"/>
          <w:sz w:val="23"/>
          <w:szCs w:val="23"/>
        </w:rPr>
        <w:t xml:space="preserve">Doit-on compter les jours de « tests » passés par les agents pour accéder à une formation de préparation à un concours ? </w:t>
      </w:r>
    </w:p>
    <w:p w14:paraId="2D581BF6" w14:textId="77777777" w:rsidR="0098425E" w:rsidRDefault="0098425E" w:rsidP="0098425E">
      <w:pPr>
        <w:pStyle w:val="Default"/>
        <w:jc w:val="both"/>
        <w:rPr>
          <w:color w:val="E26B08"/>
          <w:sz w:val="23"/>
          <w:szCs w:val="23"/>
        </w:rPr>
      </w:pPr>
      <w:r>
        <w:rPr>
          <w:i/>
          <w:iCs/>
          <w:color w:val="E26B08"/>
          <w:sz w:val="23"/>
          <w:szCs w:val="23"/>
        </w:rPr>
        <w:t xml:space="preserve">Indicateurs </w:t>
      </w:r>
      <w:r w:rsidRPr="00865A8E">
        <w:rPr>
          <w:i/>
          <w:iCs/>
          <w:color w:val="E26B08"/>
          <w:sz w:val="23"/>
          <w:szCs w:val="23"/>
        </w:rPr>
        <w:t>5.1.1.1 à 5.1.4</w:t>
      </w:r>
      <w:r>
        <w:rPr>
          <w:i/>
          <w:iCs/>
          <w:color w:val="E26B08"/>
          <w:sz w:val="23"/>
          <w:szCs w:val="23"/>
        </w:rPr>
        <w:t xml:space="preserve">. </w:t>
      </w:r>
    </w:p>
    <w:p w14:paraId="28357CEB" w14:textId="77777777" w:rsidR="0098425E" w:rsidRDefault="0098425E" w:rsidP="0098425E">
      <w:pPr>
        <w:pStyle w:val="Default"/>
        <w:jc w:val="both"/>
        <w:rPr>
          <w:sz w:val="23"/>
          <w:szCs w:val="23"/>
        </w:rPr>
      </w:pPr>
      <w:r>
        <w:rPr>
          <w:sz w:val="23"/>
          <w:szCs w:val="23"/>
        </w:rPr>
        <w:t xml:space="preserve">Oui, ces jours sont considérés comme des jours de formation. </w:t>
      </w:r>
    </w:p>
    <w:p w14:paraId="270600F7" w14:textId="77777777" w:rsidR="0098425E" w:rsidRDefault="0098425E" w:rsidP="0098425E">
      <w:pPr>
        <w:pStyle w:val="Default"/>
        <w:jc w:val="both"/>
        <w:rPr>
          <w:sz w:val="23"/>
          <w:szCs w:val="23"/>
        </w:rPr>
      </w:pPr>
    </w:p>
    <w:p w14:paraId="2C5FC30C" w14:textId="77777777" w:rsidR="0098425E" w:rsidRDefault="0098425E" w:rsidP="0098425E">
      <w:pPr>
        <w:pStyle w:val="Default"/>
        <w:jc w:val="both"/>
        <w:rPr>
          <w:color w:val="00AFEF"/>
          <w:sz w:val="23"/>
          <w:szCs w:val="23"/>
        </w:rPr>
      </w:pPr>
      <w:r>
        <w:rPr>
          <w:b/>
          <w:bCs/>
          <w:color w:val="00AFEF"/>
          <w:sz w:val="23"/>
          <w:szCs w:val="23"/>
        </w:rPr>
        <w:t xml:space="preserve">Qu’entend-on par « formations personnelles » ? </w:t>
      </w:r>
    </w:p>
    <w:p w14:paraId="70CA697D" w14:textId="7AB2D036" w:rsidR="0098425E" w:rsidRDefault="0098425E" w:rsidP="0098425E">
      <w:pPr>
        <w:pStyle w:val="Default"/>
        <w:jc w:val="both"/>
        <w:rPr>
          <w:sz w:val="23"/>
          <w:szCs w:val="23"/>
        </w:rPr>
      </w:pPr>
      <w:r>
        <w:rPr>
          <w:sz w:val="23"/>
          <w:szCs w:val="23"/>
        </w:rPr>
        <w:t xml:space="preserve">La formation personnelle comprend les formations à l'initiative de l'agent. Seules les formations personnelles réalisées dans le cadre de congé de formation sont à renseigner à </w:t>
      </w:r>
      <w:r>
        <w:rPr>
          <w:i/>
          <w:iCs/>
          <w:color w:val="E26B08"/>
          <w:sz w:val="23"/>
          <w:szCs w:val="23"/>
        </w:rPr>
        <w:t xml:space="preserve">l’indicateur </w:t>
      </w:r>
      <w:r w:rsidRPr="00EB051B">
        <w:rPr>
          <w:i/>
          <w:iCs/>
          <w:color w:val="E26B08"/>
          <w:sz w:val="23"/>
          <w:szCs w:val="23"/>
        </w:rPr>
        <w:t>5.1.3.</w:t>
      </w:r>
      <w:r>
        <w:rPr>
          <w:i/>
          <w:iCs/>
          <w:color w:val="E26B08"/>
          <w:sz w:val="23"/>
          <w:szCs w:val="23"/>
        </w:rPr>
        <w:t xml:space="preserve"> L’indicateur </w:t>
      </w:r>
      <w:r w:rsidRPr="00B5355D">
        <w:rPr>
          <w:i/>
          <w:color w:val="E26B08"/>
          <w:sz w:val="23"/>
          <w:szCs w:val="23"/>
        </w:rPr>
        <w:t xml:space="preserve">5.1.1.2.1 </w:t>
      </w:r>
      <w:r>
        <w:rPr>
          <w:sz w:val="23"/>
          <w:szCs w:val="23"/>
        </w:rPr>
        <w:t xml:space="preserve">concerne les journées de formation prises au moyen de la décharge partielle de service. </w:t>
      </w:r>
    </w:p>
    <w:p w14:paraId="38EAA1E7" w14:textId="1C51DF2E" w:rsidR="0098425E" w:rsidRDefault="0098425E" w:rsidP="0098425E">
      <w:pPr>
        <w:pStyle w:val="Default"/>
        <w:jc w:val="both"/>
        <w:rPr>
          <w:sz w:val="23"/>
          <w:szCs w:val="23"/>
        </w:rPr>
      </w:pPr>
    </w:p>
    <w:p w14:paraId="0BEBAD66" w14:textId="4BAC3A7A" w:rsidR="0098425E" w:rsidRDefault="0098425E" w:rsidP="0098425E">
      <w:pPr>
        <w:pStyle w:val="Default"/>
        <w:jc w:val="both"/>
        <w:rPr>
          <w:sz w:val="23"/>
          <w:szCs w:val="23"/>
        </w:rPr>
      </w:pPr>
    </w:p>
    <w:p w14:paraId="294C3C8E" w14:textId="77777777" w:rsidR="00A16F77" w:rsidRDefault="00A16F77" w:rsidP="0098425E">
      <w:pPr>
        <w:pStyle w:val="Default"/>
        <w:jc w:val="both"/>
        <w:rPr>
          <w:sz w:val="23"/>
          <w:szCs w:val="23"/>
        </w:rPr>
      </w:pPr>
    </w:p>
    <w:p w14:paraId="203DE137" w14:textId="7C184F6E" w:rsidR="0098425E" w:rsidRDefault="0098425E" w:rsidP="0098425E">
      <w:pPr>
        <w:pStyle w:val="Default"/>
        <w:jc w:val="both"/>
        <w:rPr>
          <w:color w:val="00AFEF"/>
          <w:sz w:val="23"/>
          <w:szCs w:val="23"/>
        </w:rPr>
      </w:pPr>
      <w:r>
        <w:rPr>
          <w:b/>
          <w:bCs/>
          <w:color w:val="00AFEF"/>
          <w:sz w:val="23"/>
          <w:szCs w:val="23"/>
        </w:rPr>
        <w:lastRenderedPageBreak/>
        <w:t xml:space="preserve">Quelles formations peuvent être prises en compte au titre du Compte personnel de formation (CPF) ? </w:t>
      </w:r>
    </w:p>
    <w:p w14:paraId="00F5B7C0" w14:textId="77777777" w:rsidR="0098425E" w:rsidRDefault="0098425E" w:rsidP="0098425E">
      <w:pPr>
        <w:pStyle w:val="Default"/>
        <w:jc w:val="both"/>
        <w:rPr>
          <w:color w:val="E26B08"/>
          <w:sz w:val="23"/>
          <w:szCs w:val="23"/>
        </w:rPr>
      </w:pPr>
      <w:r>
        <w:rPr>
          <w:i/>
          <w:iCs/>
          <w:color w:val="E26B08"/>
          <w:sz w:val="23"/>
          <w:szCs w:val="23"/>
        </w:rPr>
        <w:t xml:space="preserve">Indicateurs </w:t>
      </w:r>
      <w:r w:rsidRPr="00956B0A">
        <w:rPr>
          <w:i/>
          <w:iCs/>
          <w:color w:val="E26B08"/>
          <w:sz w:val="23"/>
          <w:szCs w:val="23"/>
        </w:rPr>
        <w:t>5.1.1.2.1(6) et (10)</w:t>
      </w:r>
      <w:r>
        <w:rPr>
          <w:i/>
          <w:iCs/>
          <w:color w:val="E26B08"/>
          <w:sz w:val="23"/>
          <w:szCs w:val="23"/>
        </w:rPr>
        <w:t xml:space="preserve"> ; </w:t>
      </w:r>
      <w:r w:rsidRPr="00956B0A">
        <w:rPr>
          <w:i/>
          <w:iCs/>
          <w:color w:val="E26B08"/>
          <w:sz w:val="23"/>
          <w:szCs w:val="23"/>
        </w:rPr>
        <w:t>5.1.1</w:t>
      </w:r>
      <w:r>
        <w:rPr>
          <w:i/>
          <w:iCs/>
          <w:color w:val="E26B08"/>
          <w:sz w:val="23"/>
          <w:szCs w:val="23"/>
        </w:rPr>
        <w:t>.2.2</w:t>
      </w:r>
      <w:r w:rsidRPr="00956B0A">
        <w:rPr>
          <w:i/>
          <w:iCs/>
          <w:color w:val="E26B08"/>
          <w:sz w:val="23"/>
          <w:szCs w:val="23"/>
        </w:rPr>
        <w:t>(6) et (10)</w:t>
      </w:r>
      <w:r>
        <w:rPr>
          <w:i/>
          <w:iCs/>
          <w:color w:val="E26B08"/>
          <w:sz w:val="23"/>
          <w:szCs w:val="23"/>
        </w:rPr>
        <w:t> ; 5.1.2(6) et</w:t>
      </w:r>
      <w:r w:rsidRPr="00956B0A">
        <w:rPr>
          <w:i/>
          <w:iCs/>
          <w:color w:val="E26B08"/>
          <w:sz w:val="23"/>
          <w:szCs w:val="23"/>
        </w:rPr>
        <w:t xml:space="preserve"> (10)</w:t>
      </w:r>
      <w:r>
        <w:rPr>
          <w:i/>
          <w:iCs/>
          <w:color w:val="E26B08"/>
          <w:sz w:val="23"/>
          <w:szCs w:val="23"/>
        </w:rPr>
        <w:t xml:space="preserve">.  </w:t>
      </w:r>
    </w:p>
    <w:p w14:paraId="6D970023" w14:textId="77777777" w:rsidR="0098425E" w:rsidRDefault="0098425E" w:rsidP="0098425E">
      <w:pPr>
        <w:pStyle w:val="Default"/>
        <w:jc w:val="both"/>
        <w:rPr>
          <w:sz w:val="23"/>
          <w:szCs w:val="23"/>
        </w:rPr>
      </w:pPr>
      <w:r>
        <w:rPr>
          <w:sz w:val="23"/>
          <w:szCs w:val="23"/>
        </w:rPr>
        <w:t xml:space="preserve">Les formations à comptabiliser au titre du CPF sont les suivantes : </w:t>
      </w:r>
    </w:p>
    <w:p w14:paraId="54ED322E" w14:textId="77777777" w:rsidR="0098425E" w:rsidRDefault="0098425E" w:rsidP="0098425E">
      <w:pPr>
        <w:pStyle w:val="Default"/>
        <w:numPr>
          <w:ilvl w:val="0"/>
          <w:numId w:val="28"/>
        </w:numPr>
        <w:jc w:val="both"/>
        <w:rPr>
          <w:sz w:val="23"/>
          <w:szCs w:val="23"/>
        </w:rPr>
      </w:pPr>
      <w:r>
        <w:rPr>
          <w:sz w:val="23"/>
          <w:szCs w:val="23"/>
        </w:rPr>
        <w:t>Préparations aux concours et examens d’accès à la FPT ;</w:t>
      </w:r>
    </w:p>
    <w:p w14:paraId="2AAAF0A5" w14:textId="77777777" w:rsidR="0098425E" w:rsidRPr="000E06C2" w:rsidRDefault="0098425E" w:rsidP="0098425E">
      <w:pPr>
        <w:pStyle w:val="Default"/>
        <w:numPr>
          <w:ilvl w:val="0"/>
          <w:numId w:val="28"/>
        </w:numPr>
        <w:jc w:val="both"/>
        <w:rPr>
          <w:sz w:val="23"/>
          <w:szCs w:val="23"/>
        </w:rPr>
      </w:pPr>
      <w:r w:rsidRPr="000E06C2">
        <w:rPr>
          <w:sz w:val="23"/>
          <w:szCs w:val="23"/>
        </w:rPr>
        <w:t>Formations ayant pour objet l’acquisition d’un diplôme, d’un titre, d’un certificat de qualification professionnelle ou le développement des compétences nécessaires à la mise en œuvre du projet d’évolution professionnelle</w:t>
      </w:r>
      <w:r w:rsidRPr="000E06C2">
        <w:rPr>
          <w:rFonts w:ascii="Arial" w:hAnsi="Arial" w:cs="Arial"/>
          <w:color w:val="2D3032"/>
          <w:sz w:val="21"/>
          <w:szCs w:val="21"/>
          <w:shd w:val="clear" w:color="auto" w:fill="FFFFFF"/>
        </w:rPr>
        <w:t xml:space="preserve">. </w:t>
      </w:r>
    </w:p>
    <w:p w14:paraId="7ADEACED" w14:textId="77777777" w:rsidR="0098425E" w:rsidRPr="00BE1384" w:rsidRDefault="0098425E" w:rsidP="0098425E">
      <w:pPr>
        <w:pStyle w:val="Default"/>
        <w:jc w:val="both"/>
        <w:rPr>
          <w:sz w:val="23"/>
          <w:szCs w:val="23"/>
        </w:rPr>
      </w:pPr>
    </w:p>
    <w:p w14:paraId="4B9CE8C6" w14:textId="77777777" w:rsidR="0098425E" w:rsidRDefault="0098425E" w:rsidP="0098425E">
      <w:pPr>
        <w:pStyle w:val="Default"/>
        <w:jc w:val="both"/>
        <w:rPr>
          <w:color w:val="00AFEF"/>
          <w:sz w:val="23"/>
          <w:szCs w:val="23"/>
        </w:rPr>
      </w:pPr>
      <w:r>
        <w:rPr>
          <w:b/>
          <w:bCs/>
          <w:color w:val="00AFEF"/>
          <w:sz w:val="23"/>
          <w:szCs w:val="23"/>
        </w:rPr>
        <w:t xml:space="preserve">Précisions sur </w:t>
      </w:r>
      <w:r w:rsidRPr="000A626A">
        <w:rPr>
          <w:b/>
          <w:bCs/>
          <w:iCs/>
          <w:color w:val="00AFEF"/>
          <w:sz w:val="23"/>
          <w:szCs w:val="23"/>
        </w:rPr>
        <w:t>l’indicateur 5.1.2</w:t>
      </w:r>
      <w:r>
        <w:rPr>
          <w:b/>
          <w:bCs/>
          <w:color w:val="00AFEF"/>
          <w:sz w:val="23"/>
          <w:szCs w:val="23"/>
        </w:rPr>
        <w:t> :</w:t>
      </w:r>
    </w:p>
    <w:p w14:paraId="5D9AC454" w14:textId="77777777" w:rsidR="0098425E" w:rsidRDefault="0098425E" w:rsidP="0098425E">
      <w:pPr>
        <w:pStyle w:val="Default"/>
        <w:jc w:val="both"/>
        <w:rPr>
          <w:sz w:val="23"/>
          <w:szCs w:val="23"/>
        </w:rPr>
      </w:pPr>
      <w:r>
        <w:rPr>
          <w:sz w:val="23"/>
          <w:szCs w:val="23"/>
        </w:rPr>
        <w:t xml:space="preserve">Les agents ci-après doivent être comptabilisés dans la rubrique 5.1.2 et doivent figurer dans </w:t>
      </w:r>
      <w:proofErr w:type="gramStart"/>
      <w:r>
        <w:rPr>
          <w:sz w:val="23"/>
          <w:szCs w:val="23"/>
        </w:rPr>
        <w:t>le champs</w:t>
      </w:r>
      <w:proofErr w:type="gramEnd"/>
      <w:r>
        <w:rPr>
          <w:sz w:val="23"/>
          <w:szCs w:val="23"/>
        </w:rPr>
        <w:t xml:space="preserve"> « autres » :</w:t>
      </w:r>
    </w:p>
    <w:p w14:paraId="156AA089" w14:textId="77777777" w:rsidR="0098425E" w:rsidRDefault="0098425E" w:rsidP="0098425E">
      <w:pPr>
        <w:pStyle w:val="Default"/>
        <w:numPr>
          <w:ilvl w:val="0"/>
          <w:numId w:val="27"/>
        </w:numPr>
        <w:jc w:val="both"/>
        <w:rPr>
          <w:sz w:val="23"/>
          <w:szCs w:val="23"/>
        </w:rPr>
      </w:pPr>
      <w:r>
        <w:rPr>
          <w:sz w:val="23"/>
          <w:szCs w:val="23"/>
        </w:rPr>
        <w:t>Les fonctionnaires momentanément privés d'emplois assurant des missions pour le compte des centres de gestion ;</w:t>
      </w:r>
    </w:p>
    <w:p w14:paraId="369D6F54" w14:textId="77777777" w:rsidR="0098425E" w:rsidRDefault="0098425E" w:rsidP="0098425E">
      <w:pPr>
        <w:pStyle w:val="Default"/>
        <w:numPr>
          <w:ilvl w:val="0"/>
          <w:numId w:val="27"/>
        </w:numPr>
        <w:jc w:val="both"/>
        <w:rPr>
          <w:sz w:val="23"/>
          <w:szCs w:val="23"/>
        </w:rPr>
      </w:pPr>
      <w:r w:rsidRPr="000E06C2">
        <w:rPr>
          <w:sz w:val="23"/>
          <w:szCs w:val="23"/>
        </w:rPr>
        <w:t>Les fonctionnaires détachés sur un contrat de projet ;</w:t>
      </w:r>
    </w:p>
    <w:p w14:paraId="50C4AEE6" w14:textId="77777777" w:rsidR="0098425E" w:rsidRPr="000E06C2" w:rsidRDefault="0098425E" w:rsidP="0098425E">
      <w:pPr>
        <w:pStyle w:val="Default"/>
        <w:numPr>
          <w:ilvl w:val="0"/>
          <w:numId w:val="27"/>
        </w:numPr>
        <w:jc w:val="both"/>
        <w:rPr>
          <w:sz w:val="23"/>
          <w:szCs w:val="23"/>
        </w:rPr>
      </w:pPr>
      <w:r w:rsidRPr="000E06C2">
        <w:rPr>
          <w:sz w:val="23"/>
          <w:szCs w:val="23"/>
        </w:rPr>
        <w:t>Les contractuels employés par les CDG et mis à disposition des collectivités.</w:t>
      </w:r>
    </w:p>
    <w:p w14:paraId="24768F0A" w14:textId="77777777" w:rsidR="0098425E" w:rsidRDefault="0098425E" w:rsidP="0098425E">
      <w:pPr>
        <w:pStyle w:val="Default"/>
        <w:jc w:val="both"/>
        <w:rPr>
          <w:b/>
          <w:bCs/>
          <w:color w:val="00AFEF"/>
          <w:sz w:val="23"/>
          <w:szCs w:val="23"/>
        </w:rPr>
      </w:pPr>
    </w:p>
    <w:p w14:paraId="735A322B" w14:textId="77777777" w:rsidR="0098425E" w:rsidRDefault="0098425E" w:rsidP="0098425E">
      <w:pPr>
        <w:pStyle w:val="Default"/>
        <w:jc w:val="both"/>
        <w:rPr>
          <w:color w:val="00AFEF"/>
          <w:sz w:val="23"/>
          <w:szCs w:val="23"/>
        </w:rPr>
      </w:pPr>
      <w:r>
        <w:rPr>
          <w:b/>
          <w:bCs/>
          <w:color w:val="00AFEF"/>
          <w:sz w:val="23"/>
          <w:szCs w:val="23"/>
        </w:rPr>
        <w:t xml:space="preserve">Qu'est-ce qu'un congé de formation ? </w:t>
      </w:r>
    </w:p>
    <w:p w14:paraId="66439D05" w14:textId="77777777" w:rsidR="0098425E" w:rsidRPr="00C10A43" w:rsidRDefault="0098425E" w:rsidP="0098425E">
      <w:pPr>
        <w:pStyle w:val="Default"/>
        <w:jc w:val="both"/>
        <w:rPr>
          <w:i/>
          <w:iCs/>
          <w:color w:val="E26B08"/>
          <w:sz w:val="23"/>
          <w:szCs w:val="23"/>
        </w:rPr>
      </w:pPr>
      <w:r>
        <w:rPr>
          <w:i/>
          <w:iCs/>
          <w:color w:val="E26B08"/>
          <w:sz w:val="23"/>
          <w:szCs w:val="23"/>
        </w:rPr>
        <w:t xml:space="preserve">Indicateur </w:t>
      </w:r>
      <w:r w:rsidRPr="00C10A43">
        <w:rPr>
          <w:i/>
          <w:iCs/>
          <w:color w:val="E26B08"/>
          <w:sz w:val="23"/>
          <w:szCs w:val="23"/>
        </w:rPr>
        <w:t>5.1.3</w:t>
      </w:r>
      <w:r>
        <w:rPr>
          <w:i/>
          <w:iCs/>
          <w:color w:val="E26B08"/>
          <w:sz w:val="23"/>
          <w:szCs w:val="23"/>
        </w:rPr>
        <w:t>.</w:t>
      </w:r>
    </w:p>
    <w:p w14:paraId="4AEBBD54" w14:textId="77777777" w:rsidR="0098425E" w:rsidRDefault="0098425E" w:rsidP="0098425E">
      <w:pPr>
        <w:pStyle w:val="Default"/>
        <w:jc w:val="both"/>
        <w:rPr>
          <w:sz w:val="23"/>
          <w:szCs w:val="23"/>
        </w:rPr>
      </w:pPr>
      <w:r>
        <w:rPr>
          <w:sz w:val="23"/>
          <w:szCs w:val="23"/>
        </w:rPr>
        <w:t xml:space="preserve">Le congé de formation professionnelle permet aux agents de parfaire leur formation en vue de satisfaire un projet professionnel ou personnel. Il peut contribuer à un changement d’activité grâce à une formation longue ou encore à la préparation d’un concours/examen professionnel de la fonction publique </w:t>
      </w:r>
      <w:r w:rsidRPr="00F07BF6">
        <w:rPr>
          <w:sz w:val="23"/>
          <w:szCs w:val="23"/>
        </w:rPr>
        <w:t>(cf. décret n°2007-1845 du 26 décembre 2007).</w:t>
      </w:r>
      <w:r>
        <w:rPr>
          <w:sz w:val="23"/>
          <w:szCs w:val="23"/>
        </w:rPr>
        <w:t xml:space="preserve"> </w:t>
      </w:r>
    </w:p>
    <w:p w14:paraId="50CB2AAA" w14:textId="77777777" w:rsidR="0098425E" w:rsidRDefault="0098425E" w:rsidP="0098425E">
      <w:pPr>
        <w:pStyle w:val="Default"/>
        <w:jc w:val="both"/>
        <w:rPr>
          <w:sz w:val="23"/>
          <w:szCs w:val="23"/>
        </w:rPr>
      </w:pPr>
    </w:p>
    <w:p w14:paraId="1D308BDC" w14:textId="77777777" w:rsidR="0098425E" w:rsidRDefault="0098425E" w:rsidP="0098425E">
      <w:pPr>
        <w:pStyle w:val="Default"/>
        <w:jc w:val="both"/>
        <w:rPr>
          <w:color w:val="00AFEF"/>
          <w:sz w:val="23"/>
          <w:szCs w:val="23"/>
        </w:rPr>
      </w:pPr>
      <w:r>
        <w:rPr>
          <w:b/>
          <w:bCs/>
          <w:color w:val="00AFEF"/>
          <w:sz w:val="23"/>
          <w:szCs w:val="23"/>
        </w:rPr>
        <w:t xml:space="preserve">Quelles sont les formations à prendre en compte pour calculer les coûts de formation ? </w:t>
      </w:r>
    </w:p>
    <w:p w14:paraId="6A723110" w14:textId="77777777" w:rsidR="0098425E" w:rsidRDefault="0098425E" w:rsidP="0098425E">
      <w:pPr>
        <w:pStyle w:val="Default"/>
        <w:jc w:val="both"/>
        <w:rPr>
          <w:color w:val="E26B08"/>
          <w:sz w:val="23"/>
          <w:szCs w:val="23"/>
        </w:rPr>
      </w:pPr>
      <w:r>
        <w:rPr>
          <w:i/>
          <w:iCs/>
          <w:color w:val="E26B08"/>
          <w:sz w:val="23"/>
          <w:szCs w:val="23"/>
        </w:rPr>
        <w:t xml:space="preserve">Indicateur </w:t>
      </w:r>
      <w:r w:rsidRPr="003A47F7">
        <w:rPr>
          <w:i/>
          <w:iCs/>
          <w:color w:val="E26B08"/>
          <w:sz w:val="23"/>
          <w:szCs w:val="23"/>
        </w:rPr>
        <w:t>5.1.4</w:t>
      </w:r>
      <w:r>
        <w:rPr>
          <w:i/>
          <w:iCs/>
          <w:color w:val="E26B08"/>
          <w:sz w:val="23"/>
          <w:szCs w:val="23"/>
        </w:rPr>
        <w:t xml:space="preserve"> – « Coûts de formation ». </w:t>
      </w:r>
    </w:p>
    <w:p w14:paraId="39D13138" w14:textId="77777777" w:rsidR="0098425E" w:rsidRDefault="0098425E" w:rsidP="0098425E">
      <w:pPr>
        <w:pStyle w:val="Default"/>
        <w:jc w:val="both"/>
        <w:rPr>
          <w:sz w:val="23"/>
          <w:szCs w:val="23"/>
        </w:rPr>
      </w:pPr>
      <w:r>
        <w:rPr>
          <w:sz w:val="23"/>
          <w:szCs w:val="23"/>
        </w:rPr>
        <w:t>Seules les formations des agents présents au 31.12.</w:t>
      </w:r>
      <w:r w:rsidRPr="003A47F7">
        <w:rPr>
          <w:sz w:val="23"/>
          <w:szCs w:val="23"/>
        </w:rPr>
        <w:t xml:space="preserve">2021 </w:t>
      </w:r>
      <w:r>
        <w:rPr>
          <w:sz w:val="23"/>
          <w:szCs w:val="23"/>
        </w:rPr>
        <w:t xml:space="preserve">doivent être prises en compte pour le calcul des coûts de formation. </w:t>
      </w:r>
    </w:p>
    <w:p w14:paraId="2959F53B" w14:textId="77777777" w:rsidR="0098425E" w:rsidRDefault="0098425E" w:rsidP="0098425E">
      <w:pPr>
        <w:pStyle w:val="Default"/>
        <w:jc w:val="both"/>
        <w:rPr>
          <w:sz w:val="23"/>
          <w:szCs w:val="23"/>
        </w:rPr>
      </w:pPr>
    </w:p>
    <w:p w14:paraId="7B21A1A3" w14:textId="77777777" w:rsidR="0098425E" w:rsidRDefault="0098425E" w:rsidP="0098425E">
      <w:pPr>
        <w:pStyle w:val="Default"/>
        <w:jc w:val="both"/>
        <w:rPr>
          <w:color w:val="00AFEF"/>
          <w:sz w:val="23"/>
          <w:szCs w:val="23"/>
        </w:rPr>
      </w:pPr>
      <w:r w:rsidRPr="00961908">
        <w:rPr>
          <w:b/>
          <w:bCs/>
          <w:color w:val="00AFEF"/>
          <w:sz w:val="23"/>
          <w:szCs w:val="23"/>
        </w:rPr>
        <w:t>Comment distinguer le montant versé au titre des cotisations au CNFPT de celui versé au centre de gestion ?</w:t>
      </w:r>
      <w:r>
        <w:rPr>
          <w:b/>
          <w:bCs/>
          <w:color w:val="00AFEF"/>
          <w:sz w:val="23"/>
          <w:szCs w:val="23"/>
        </w:rPr>
        <w:t xml:space="preserve"> </w:t>
      </w:r>
    </w:p>
    <w:p w14:paraId="5442D5D0" w14:textId="77777777" w:rsidR="0098425E" w:rsidRDefault="0098425E" w:rsidP="0098425E">
      <w:pPr>
        <w:pStyle w:val="Default"/>
        <w:jc w:val="both"/>
        <w:rPr>
          <w:color w:val="E26B08"/>
          <w:sz w:val="23"/>
          <w:szCs w:val="23"/>
        </w:rPr>
      </w:pPr>
      <w:r>
        <w:rPr>
          <w:i/>
          <w:iCs/>
          <w:color w:val="E26B08"/>
          <w:sz w:val="23"/>
          <w:szCs w:val="23"/>
        </w:rPr>
        <w:t xml:space="preserve">Indicateur </w:t>
      </w:r>
      <w:r w:rsidRPr="00961908">
        <w:rPr>
          <w:i/>
          <w:iCs/>
          <w:color w:val="E26B08"/>
          <w:sz w:val="23"/>
          <w:szCs w:val="23"/>
        </w:rPr>
        <w:t>5.1.4.1</w:t>
      </w:r>
      <w:r>
        <w:rPr>
          <w:i/>
          <w:iCs/>
          <w:color w:val="E26B08"/>
          <w:sz w:val="23"/>
          <w:szCs w:val="23"/>
        </w:rPr>
        <w:t xml:space="preserve"> – « CNFPT au titre de la cotisation obligatoire ».</w:t>
      </w:r>
    </w:p>
    <w:p w14:paraId="2311601C" w14:textId="77777777" w:rsidR="0098425E" w:rsidRDefault="0098425E" w:rsidP="0098425E">
      <w:pPr>
        <w:pStyle w:val="Default"/>
        <w:jc w:val="both"/>
        <w:rPr>
          <w:color w:val="000000" w:themeColor="text1"/>
          <w:sz w:val="23"/>
          <w:szCs w:val="23"/>
        </w:rPr>
      </w:pPr>
      <w:r w:rsidRPr="00F07BF6">
        <w:rPr>
          <w:color w:val="000000" w:themeColor="text1"/>
          <w:sz w:val="23"/>
          <w:szCs w:val="23"/>
        </w:rPr>
        <w:t>Le montant de la cotisation obligatoire se trouve sur le bordereau récapitulatif de cotisation URSSAF</w:t>
      </w:r>
      <w:r>
        <w:rPr>
          <w:color w:val="000000" w:themeColor="text1"/>
          <w:sz w:val="23"/>
          <w:szCs w:val="23"/>
        </w:rPr>
        <w:t> </w:t>
      </w:r>
      <w:r w:rsidRPr="00F07BF6">
        <w:rPr>
          <w:color w:val="000000" w:themeColor="text1"/>
          <w:sz w:val="23"/>
          <w:szCs w:val="23"/>
        </w:rPr>
        <w:t>sous le Code Type Personnel</w:t>
      </w:r>
      <w:r>
        <w:rPr>
          <w:color w:val="000000" w:themeColor="text1"/>
          <w:sz w:val="23"/>
          <w:szCs w:val="23"/>
        </w:rPr>
        <w:t> (CTP) :</w:t>
      </w:r>
    </w:p>
    <w:p w14:paraId="6CA0D9F3" w14:textId="77777777" w:rsidR="0098425E" w:rsidRDefault="0098425E" w:rsidP="0098425E">
      <w:pPr>
        <w:pStyle w:val="Default"/>
        <w:numPr>
          <w:ilvl w:val="0"/>
          <w:numId w:val="27"/>
        </w:numPr>
        <w:jc w:val="both"/>
        <w:rPr>
          <w:color w:val="000000" w:themeColor="text1"/>
          <w:sz w:val="23"/>
          <w:szCs w:val="23"/>
        </w:rPr>
      </w:pPr>
      <w:r>
        <w:rPr>
          <w:color w:val="000000" w:themeColor="text1"/>
          <w:sz w:val="23"/>
          <w:szCs w:val="23"/>
        </w:rPr>
        <w:t>481</w:t>
      </w:r>
      <w:r w:rsidRPr="00F07BF6">
        <w:rPr>
          <w:color w:val="000000" w:themeColor="text1"/>
          <w:sz w:val="23"/>
          <w:szCs w:val="23"/>
        </w:rPr>
        <w:t xml:space="preserve"> </w:t>
      </w:r>
      <w:r>
        <w:rPr>
          <w:color w:val="000000" w:themeColor="text1"/>
          <w:sz w:val="23"/>
          <w:szCs w:val="23"/>
        </w:rPr>
        <w:t>pour les employeurs territoriaux (Collectivités territoriales, leurs établissements publics et les MDPH) ;</w:t>
      </w:r>
    </w:p>
    <w:p w14:paraId="71D63FED" w14:textId="77777777" w:rsidR="0098425E" w:rsidRDefault="0098425E" w:rsidP="0098425E">
      <w:pPr>
        <w:pStyle w:val="Default"/>
        <w:numPr>
          <w:ilvl w:val="0"/>
          <w:numId w:val="27"/>
        </w:numPr>
        <w:jc w:val="both"/>
        <w:rPr>
          <w:color w:val="000000" w:themeColor="text1"/>
          <w:sz w:val="23"/>
          <w:szCs w:val="23"/>
        </w:rPr>
      </w:pPr>
      <w:r>
        <w:rPr>
          <w:color w:val="000000" w:themeColor="text1"/>
          <w:sz w:val="23"/>
          <w:szCs w:val="23"/>
        </w:rPr>
        <w:t>482 pour les Offices Publics d’Habitations à Loyer Modéré (OPHLM) ;</w:t>
      </w:r>
    </w:p>
    <w:p w14:paraId="435F62A8" w14:textId="77777777" w:rsidR="0098425E" w:rsidRPr="00F07BF6" w:rsidRDefault="0098425E" w:rsidP="0098425E">
      <w:pPr>
        <w:pStyle w:val="Default"/>
        <w:numPr>
          <w:ilvl w:val="0"/>
          <w:numId w:val="27"/>
        </w:numPr>
        <w:jc w:val="both"/>
        <w:rPr>
          <w:color w:val="000000" w:themeColor="text1"/>
          <w:sz w:val="23"/>
          <w:szCs w:val="23"/>
        </w:rPr>
      </w:pPr>
      <w:r>
        <w:rPr>
          <w:color w:val="000000" w:themeColor="text1"/>
          <w:sz w:val="23"/>
          <w:szCs w:val="23"/>
        </w:rPr>
        <w:t xml:space="preserve">483 pour les Services Départementaux d’Incendie et de Secours (SDIS). </w:t>
      </w:r>
    </w:p>
    <w:p w14:paraId="3D588EBD" w14:textId="77777777" w:rsidR="0098425E" w:rsidRDefault="0098425E" w:rsidP="0098425E">
      <w:pPr>
        <w:pStyle w:val="Default"/>
        <w:jc w:val="both"/>
        <w:rPr>
          <w:sz w:val="23"/>
          <w:szCs w:val="23"/>
        </w:rPr>
      </w:pPr>
    </w:p>
    <w:p w14:paraId="0968BBFC" w14:textId="77777777" w:rsidR="0098425E" w:rsidRDefault="0098425E" w:rsidP="0098425E">
      <w:pPr>
        <w:pStyle w:val="Default"/>
        <w:jc w:val="both"/>
        <w:rPr>
          <w:color w:val="00AFEF"/>
          <w:sz w:val="23"/>
          <w:szCs w:val="23"/>
        </w:rPr>
      </w:pPr>
      <w:r>
        <w:rPr>
          <w:b/>
          <w:bCs/>
          <w:color w:val="00AFEF"/>
          <w:sz w:val="23"/>
          <w:szCs w:val="23"/>
        </w:rPr>
        <w:t>Que compte-t-on dans les « frais de déplacement à la charge de la collectivité » ?</w:t>
      </w:r>
    </w:p>
    <w:p w14:paraId="1200656D" w14:textId="77777777" w:rsidR="0098425E" w:rsidRDefault="0098425E" w:rsidP="0098425E">
      <w:pPr>
        <w:pStyle w:val="Default"/>
        <w:jc w:val="both"/>
        <w:rPr>
          <w:color w:val="E26B08"/>
          <w:sz w:val="23"/>
          <w:szCs w:val="23"/>
        </w:rPr>
      </w:pPr>
      <w:r>
        <w:rPr>
          <w:i/>
          <w:iCs/>
          <w:color w:val="E26B08"/>
          <w:sz w:val="23"/>
          <w:szCs w:val="23"/>
        </w:rPr>
        <w:t xml:space="preserve">Indicateur </w:t>
      </w:r>
      <w:r w:rsidRPr="005439E6">
        <w:rPr>
          <w:i/>
          <w:iCs/>
          <w:color w:val="E26B08"/>
          <w:sz w:val="23"/>
          <w:szCs w:val="23"/>
        </w:rPr>
        <w:t>5.1.4</w:t>
      </w:r>
      <w:r>
        <w:rPr>
          <w:i/>
          <w:iCs/>
          <w:color w:val="E26B08"/>
          <w:sz w:val="23"/>
          <w:szCs w:val="23"/>
        </w:rPr>
        <w:t>.4 – « Frais de déplacement à la charge de la collectivité ».</w:t>
      </w:r>
    </w:p>
    <w:p w14:paraId="343FC6E3" w14:textId="6B67D2AE" w:rsidR="0098425E" w:rsidRDefault="0098425E" w:rsidP="0098425E">
      <w:pPr>
        <w:jc w:val="both"/>
        <w:rPr>
          <w:sz w:val="23"/>
          <w:szCs w:val="23"/>
        </w:rPr>
      </w:pPr>
      <w:r>
        <w:rPr>
          <w:sz w:val="23"/>
          <w:szCs w:val="23"/>
        </w:rPr>
        <w:t>Il s’agit des frais de trajet, restauration et hébergement que la collectivité a engagé pour la formation de l’agent.</w:t>
      </w:r>
    </w:p>
    <w:p w14:paraId="090A58FF" w14:textId="77777777" w:rsidR="0098425E" w:rsidRDefault="0098425E" w:rsidP="0098425E">
      <w:pPr>
        <w:jc w:val="both"/>
        <w:rPr>
          <w:sz w:val="23"/>
          <w:szCs w:val="23"/>
        </w:rPr>
      </w:pPr>
    </w:p>
    <w:p w14:paraId="0DBDC676" w14:textId="77777777" w:rsidR="0098425E" w:rsidRDefault="0098425E" w:rsidP="0098425E">
      <w:pPr>
        <w:pStyle w:val="Default"/>
        <w:jc w:val="both"/>
        <w:rPr>
          <w:color w:val="00AFEF"/>
          <w:sz w:val="23"/>
          <w:szCs w:val="23"/>
        </w:rPr>
      </w:pPr>
      <w:r>
        <w:rPr>
          <w:b/>
          <w:bCs/>
          <w:color w:val="00AFEF"/>
          <w:sz w:val="23"/>
          <w:szCs w:val="23"/>
        </w:rPr>
        <w:t xml:space="preserve">Qu’entend-t-on par « Coût de formation des apprentis » ?  </w:t>
      </w:r>
    </w:p>
    <w:p w14:paraId="44736818" w14:textId="77777777" w:rsidR="0098425E" w:rsidRDefault="0098425E" w:rsidP="0098425E">
      <w:pPr>
        <w:pStyle w:val="Default"/>
        <w:jc w:val="both"/>
        <w:rPr>
          <w:color w:val="E26B08"/>
          <w:sz w:val="23"/>
          <w:szCs w:val="23"/>
        </w:rPr>
      </w:pPr>
      <w:r>
        <w:rPr>
          <w:i/>
          <w:iCs/>
          <w:color w:val="E26B08"/>
          <w:sz w:val="23"/>
          <w:szCs w:val="23"/>
        </w:rPr>
        <w:t xml:space="preserve">Indicateur </w:t>
      </w:r>
      <w:r w:rsidRPr="005439E6">
        <w:rPr>
          <w:i/>
          <w:iCs/>
          <w:color w:val="E26B08"/>
          <w:sz w:val="23"/>
          <w:szCs w:val="23"/>
        </w:rPr>
        <w:t>5.1.4</w:t>
      </w:r>
      <w:r>
        <w:rPr>
          <w:i/>
          <w:iCs/>
          <w:color w:val="E26B08"/>
          <w:sz w:val="23"/>
          <w:szCs w:val="23"/>
        </w:rPr>
        <w:t>.5 – « Coût de la formation des apprentis ».</w:t>
      </w:r>
    </w:p>
    <w:p w14:paraId="1A6D48A6" w14:textId="77777777" w:rsidR="0098425E" w:rsidRDefault="0098425E" w:rsidP="0098425E">
      <w:pPr>
        <w:jc w:val="both"/>
        <w:rPr>
          <w:color w:val="000000"/>
        </w:rPr>
      </w:pPr>
      <w:r>
        <w:rPr>
          <w:sz w:val="23"/>
          <w:szCs w:val="23"/>
        </w:rPr>
        <w:t xml:space="preserve">Les frais de formation </w:t>
      </w:r>
      <w:r>
        <w:rPr>
          <w:color w:val="000000"/>
        </w:rPr>
        <w:t xml:space="preserve">incluent les dépenses de gestion administrative et les dépenses afférentes aux frais de formation. Les frais annexes de l’apprenti, à savoir les frais d’hébergement, les frais de restauration et les frais de déplacement ne sont pas pris en compte. </w:t>
      </w:r>
    </w:p>
    <w:p w14:paraId="6D88B94E" w14:textId="77777777" w:rsidR="0098425E" w:rsidRPr="00792EFA" w:rsidRDefault="0098425E" w:rsidP="0098425E">
      <w:pPr>
        <w:jc w:val="both"/>
        <w:rPr>
          <w:color w:val="000000"/>
        </w:rPr>
      </w:pPr>
      <w:r>
        <w:rPr>
          <w:sz w:val="23"/>
          <w:szCs w:val="23"/>
        </w:rPr>
        <w:t xml:space="preserve">Pour 2021, la loi de </w:t>
      </w:r>
      <w:r>
        <w:rPr>
          <w:color w:val="000000"/>
        </w:rPr>
        <w:t xml:space="preserve">transformation de la fonction publique du 6 août 2019 complétée par le décret n°2020-786 du 26 juin 2020 prévoyait un cofinancement du CNFPT à hauteur de 50% s’appliquant à un montant plafonné et versé directement au CFA. </w:t>
      </w:r>
    </w:p>
    <w:p w14:paraId="3139DD99" w14:textId="77777777" w:rsidR="0098425E" w:rsidRPr="00792EFA" w:rsidRDefault="0098425E" w:rsidP="0098425E">
      <w:pPr>
        <w:jc w:val="both"/>
        <w:rPr>
          <w:color w:val="000000"/>
        </w:rPr>
      </w:pPr>
      <w:r w:rsidRPr="00792EFA">
        <w:rPr>
          <w:color w:val="000000"/>
        </w:rPr>
        <w:lastRenderedPageBreak/>
        <w:t xml:space="preserve">Il convient de renseigner sous cet indicateur le montant du reste à charge, hors participation de 50% du CNFPT.  </w:t>
      </w:r>
    </w:p>
    <w:p w14:paraId="011F4768" w14:textId="28031DD9" w:rsidR="0098425E" w:rsidRDefault="0098425E" w:rsidP="0098425E">
      <w:pPr>
        <w:jc w:val="both"/>
      </w:pPr>
    </w:p>
    <w:p w14:paraId="1A9CE919" w14:textId="31922DEC" w:rsidR="0098425E" w:rsidRDefault="0098425E" w:rsidP="00BD228F">
      <w:pPr>
        <w:jc w:val="center"/>
      </w:pPr>
    </w:p>
    <w:p w14:paraId="4FF8833C" w14:textId="0BCF8019" w:rsidR="00336746" w:rsidRDefault="00336746" w:rsidP="00BD228F">
      <w:pPr>
        <w:jc w:val="center"/>
      </w:pPr>
    </w:p>
    <w:p w14:paraId="3271F6C1" w14:textId="59142261" w:rsidR="00336746" w:rsidRDefault="00336746" w:rsidP="00BD228F">
      <w:pPr>
        <w:jc w:val="center"/>
      </w:pPr>
    </w:p>
    <w:p w14:paraId="7477BC07" w14:textId="30753BC0" w:rsidR="00336746" w:rsidRDefault="00336746" w:rsidP="00BD228F">
      <w:pPr>
        <w:jc w:val="center"/>
      </w:pPr>
    </w:p>
    <w:p w14:paraId="1C81FB1C" w14:textId="418B2A27" w:rsidR="00336746" w:rsidRDefault="00336746" w:rsidP="00BD228F">
      <w:pPr>
        <w:jc w:val="center"/>
      </w:pPr>
    </w:p>
    <w:p w14:paraId="12DCF0DD" w14:textId="411107D5" w:rsidR="00336746" w:rsidRDefault="00336746" w:rsidP="00BD228F">
      <w:pPr>
        <w:jc w:val="center"/>
      </w:pPr>
    </w:p>
    <w:p w14:paraId="45663D09" w14:textId="7E40671F" w:rsidR="00336746" w:rsidRDefault="00336746" w:rsidP="00BD228F">
      <w:pPr>
        <w:jc w:val="center"/>
      </w:pPr>
    </w:p>
    <w:p w14:paraId="07C0FCD6" w14:textId="11B058DD" w:rsidR="00336746" w:rsidRDefault="00336746" w:rsidP="00BD228F">
      <w:pPr>
        <w:jc w:val="center"/>
      </w:pPr>
    </w:p>
    <w:p w14:paraId="354DD5D3" w14:textId="0610DAB2" w:rsidR="00336746" w:rsidRDefault="00336746" w:rsidP="00BD228F">
      <w:pPr>
        <w:jc w:val="center"/>
      </w:pPr>
    </w:p>
    <w:p w14:paraId="4FA28660" w14:textId="2909F50E" w:rsidR="00336746" w:rsidRDefault="00336746" w:rsidP="00BD228F">
      <w:pPr>
        <w:jc w:val="center"/>
      </w:pPr>
    </w:p>
    <w:p w14:paraId="7E0AEE4D" w14:textId="04650679" w:rsidR="00336746" w:rsidRDefault="00336746" w:rsidP="00BD228F">
      <w:pPr>
        <w:jc w:val="center"/>
      </w:pPr>
    </w:p>
    <w:p w14:paraId="32B6053B" w14:textId="0BF387E5" w:rsidR="00336746" w:rsidRDefault="00336746" w:rsidP="00BD228F">
      <w:pPr>
        <w:jc w:val="center"/>
      </w:pPr>
    </w:p>
    <w:p w14:paraId="18B11F68" w14:textId="5E0E89A2" w:rsidR="00336746" w:rsidRDefault="00336746" w:rsidP="00BD228F">
      <w:pPr>
        <w:jc w:val="center"/>
      </w:pPr>
    </w:p>
    <w:p w14:paraId="6EC2F62C" w14:textId="486AEC85" w:rsidR="00336746" w:rsidRDefault="00336746" w:rsidP="00BD228F">
      <w:pPr>
        <w:jc w:val="center"/>
      </w:pPr>
    </w:p>
    <w:p w14:paraId="490091F1" w14:textId="35EBAC68" w:rsidR="00336746" w:rsidRDefault="00336746" w:rsidP="00BD228F">
      <w:pPr>
        <w:jc w:val="center"/>
      </w:pPr>
    </w:p>
    <w:p w14:paraId="2D41F42A" w14:textId="5640B5B0" w:rsidR="00336746" w:rsidRDefault="00336746" w:rsidP="00BD228F">
      <w:pPr>
        <w:jc w:val="center"/>
      </w:pPr>
    </w:p>
    <w:p w14:paraId="0B871741" w14:textId="5893C4D2" w:rsidR="00336746" w:rsidRDefault="00336746" w:rsidP="00BD228F">
      <w:pPr>
        <w:jc w:val="center"/>
      </w:pPr>
    </w:p>
    <w:p w14:paraId="37F28C93" w14:textId="6F07A689" w:rsidR="00336746" w:rsidRDefault="00336746" w:rsidP="00BD228F">
      <w:pPr>
        <w:jc w:val="center"/>
      </w:pPr>
    </w:p>
    <w:p w14:paraId="138CCC62" w14:textId="1B8993C3" w:rsidR="00336746" w:rsidRDefault="00336746" w:rsidP="00BD228F">
      <w:pPr>
        <w:jc w:val="center"/>
      </w:pPr>
    </w:p>
    <w:p w14:paraId="07F6503F" w14:textId="0F714167" w:rsidR="00336746" w:rsidRDefault="00336746" w:rsidP="00BD228F">
      <w:pPr>
        <w:jc w:val="center"/>
      </w:pPr>
    </w:p>
    <w:p w14:paraId="06E6CEF5" w14:textId="5F9E4BDE" w:rsidR="00336746" w:rsidRDefault="00336746" w:rsidP="00BD228F">
      <w:pPr>
        <w:jc w:val="center"/>
      </w:pPr>
    </w:p>
    <w:p w14:paraId="56D16CB2" w14:textId="3B43DBD4" w:rsidR="00336746" w:rsidRDefault="00336746" w:rsidP="00BD228F">
      <w:pPr>
        <w:jc w:val="center"/>
      </w:pPr>
    </w:p>
    <w:p w14:paraId="355534D3" w14:textId="20D85035" w:rsidR="00336746" w:rsidRDefault="00336746" w:rsidP="00BD228F">
      <w:pPr>
        <w:jc w:val="center"/>
      </w:pPr>
    </w:p>
    <w:p w14:paraId="2589B4A8" w14:textId="2EE45BBC" w:rsidR="00336746" w:rsidRDefault="00336746" w:rsidP="00BD228F">
      <w:pPr>
        <w:jc w:val="center"/>
      </w:pPr>
    </w:p>
    <w:p w14:paraId="09A018D0" w14:textId="5DE48B0C" w:rsidR="00336746" w:rsidRDefault="00336746" w:rsidP="00BD228F">
      <w:pPr>
        <w:jc w:val="center"/>
      </w:pPr>
    </w:p>
    <w:p w14:paraId="23B74100" w14:textId="48455738" w:rsidR="00336746" w:rsidRDefault="00336746" w:rsidP="00BD228F">
      <w:pPr>
        <w:jc w:val="center"/>
      </w:pPr>
    </w:p>
    <w:p w14:paraId="272FDE5B" w14:textId="727208D2" w:rsidR="00336746" w:rsidRDefault="00336746" w:rsidP="00BD228F">
      <w:pPr>
        <w:jc w:val="center"/>
      </w:pPr>
    </w:p>
    <w:p w14:paraId="1BC9503C" w14:textId="1517CFA9" w:rsidR="00336746" w:rsidRDefault="00336746" w:rsidP="00BD228F">
      <w:pPr>
        <w:jc w:val="center"/>
      </w:pPr>
    </w:p>
    <w:p w14:paraId="4D865345" w14:textId="353565D8" w:rsidR="00336746" w:rsidRDefault="00336746" w:rsidP="00BD228F">
      <w:pPr>
        <w:jc w:val="center"/>
      </w:pPr>
    </w:p>
    <w:p w14:paraId="5C90D8E6" w14:textId="3BDDC9B2" w:rsidR="00336746" w:rsidRDefault="00336746" w:rsidP="00BD228F">
      <w:pPr>
        <w:jc w:val="center"/>
      </w:pPr>
    </w:p>
    <w:p w14:paraId="468F78D9" w14:textId="091BE5BE" w:rsidR="00336746" w:rsidRDefault="00336746" w:rsidP="00BD228F">
      <w:pPr>
        <w:jc w:val="center"/>
      </w:pPr>
    </w:p>
    <w:p w14:paraId="0E495363" w14:textId="2E10BAA2" w:rsidR="00336746" w:rsidRDefault="00336746" w:rsidP="00BD228F">
      <w:pPr>
        <w:jc w:val="center"/>
      </w:pPr>
    </w:p>
    <w:p w14:paraId="52D49F22" w14:textId="41E9C3BA" w:rsidR="00336746" w:rsidRDefault="00336746" w:rsidP="00BD228F">
      <w:pPr>
        <w:jc w:val="center"/>
      </w:pPr>
    </w:p>
    <w:p w14:paraId="40069162" w14:textId="57043C22" w:rsidR="00336746" w:rsidRDefault="00336746" w:rsidP="00BD228F">
      <w:pPr>
        <w:jc w:val="center"/>
      </w:pPr>
    </w:p>
    <w:p w14:paraId="5883D4E5" w14:textId="548B2849" w:rsidR="00336746" w:rsidRDefault="00336746" w:rsidP="00BD228F">
      <w:pPr>
        <w:jc w:val="center"/>
      </w:pPr>
    </w:p>
    <w:p w14:paraId="79956337" w14:textId="730C27FE" w:rsidR="00336746" w:rsidRDefault="00336746" w:rsidP="00BD228F">
      <w:pPr>
        <w:jc w:val="center"/>
      </w:pPr>
    </w:p>
    <w:p w14:paraId="34673495" w14:textId="765914F6" w:rsidR="00336746" w:rsidRDefault="00336746" w:rsidP="00BD228F">
      <w:pPr>
        <w:jc w:val="center"/>
      </w:pPr>
    </w:p>
    <w:p w14:paraId="52862397" w14:textId="7F104C5E" w:rsidR="00336746" w:rsidRDefault="00336746" w:rsidP="00BD228F">
      <w:pPr>
        <w:jc w:val="center"/>
      </w:pPr>
    </w:p>
    <w:p w14:paraId="2F4E9D4C" w14:textId="75F53CDB" w:rsidR="00336746" w:rsidRDefault="00336746" w:rsidP="00BD228F">
      <w:pPr>
        <w:jc w:val="center"/>
      </w:pPr>
    </w:p>
    <w:p w14:paraId="5C2C8C00" w14:textId="3403D250" w:rsidR="00336746" w:rsidRDefault="00336746" w:rsidP="00BD228F">
      <w:pPr>
        <w:jc w:val="center"/>
      </w:pPr>
    </w:p>
    <w:p w14:paraId="11A819A3" w14:textId="78EC3C22" w:rsidR="00336746" w:rsidRDefault="00336746" w:rsidP="00BD228F">
      <w:pPr>
        <w:jc w:val="center"/>
      </w:pPr>
    </w:p>
    <w:p w14:paraId="19CBCDDA" w14:textId="3AA4F472" w:rsidR="00336746" w:rsidRDefault="00336746" w:rsidP="00BD228F">
      <w:pPr>
        <w:jc w:val="center"/>
      </w:pPr>
    </w:p>
    <w:p w14:paraId="6542817E" w14:textId="436EB4EF" w:rsidR="00336746" w:rsidRDefault="00336746" w:rsidP="00BD228F">
      <w:pPr>
        <w:jc w:val="center"/>
      </w:pPr>
    </w:p>
    <w:p w14:paraId="65FDE5F8" w14:textId="77777777" w:rsidR="00336746" w:rsidRPr="0042712C" w:rsidRDefault="00336746" w:rsidP="00336746">
      <w:pPr>
        <w:pStyle w:val="Titre1"/>
      </w:pPr>
      <w:bookmarkStart w:id="18" w:name="_Toc76029653"/>
      <w:bookmarkStart w:id="19" w:name="_Toc104276130"/>
      <w:r>
        <w:lastRenderedPageBreak/>
        <w:t>Dialogue social</w:t>
      </w:r>
      <w:bookmarkEnd w:id="18"/>
      <w:bookmarkEnd w:id="19"/>
    </w:p>
    <w:p w14:paraId="586C56B9" w14:textId="77777777" w:rsidR="00336746" w:rsidRPr="00AB15BC" w:rsidRDefault="00336746" w:rsidP="00336746">
      <w:pPr>
        <w:jc w:val="both"/>
        <w:rPr>
          <w:color w:val="000000"/>
          <w:szCs w:val="24"/>
        </w:rPr>
      </w:pPr>
    </w:p>
    <w:p w14:paraId="4F47EC2B" w14:textId="77777777" w:rsidR="00336746" w:rsidRDefault="00336746" w:rsidP="00336746">
      <w:pPr>
        <w:jc w:val="both"/>
        <w:rPr>
          <w:rFonts w:cs="Arial"/>
          <w:b/>
          <w:color w:val="00B0F0"/>
          <w:szCs w:val="24"/>
        </w:rPr>
      </w:pPr>
      <w:r>
        <w:rPr>
          <w:rFonts w:cs="Arial"/>
          <w:b/>
          <w:color w:val="00B0F0"/>
          <w:szCs w:val="24"/>
        </w:rPr>
        <w:t xml:space="preserve">Comment comptabiliser </w:t>
      </w:r>
      <w:r w:rsidRPr="00021213">
        <w:rPr>
          <w:rFonts w:cs="Arial"/>
          <w:b/>
          <w:color w:val="00B0F0"/>
          <w:szCs w:val="24"/>
        </w:rPr>
        <w:t xml:space="preserve">le nombre de jours d’activité des représentants </w:t>
      </w:r>
      <w:r>
        <w:rPr>
          <w:rFonts w:cs="Arial"/>
          <w:b/>
          <w:color w:val="00B0F0"/>
          <w:szCs w:val="24"/>
        </w:rPr>
        <w:t xml:space="preserve">et </w:t>
      </w:r>
      <w:r w:rsidRPr="00021213">
        <w:rPr>
          <w:rFonts w:cs="Arial"/>
          <w:b/>
          <w:color w:val="00B0F0"/>
          <w:szCs w:val="24"/>
        </w:rPr>
        <w:t>du secrétaire </w:t>
      </w:r>
      <w:r>
        <w:rPr>
          <w:rFonts w:cs="Arial"/>
          <w:b/>
          <w:color w:val="00B0F0"/>
          <w:szCs w:val="24"/>
        </w:rPr>
        <w:t xml:space="preserve">du CHSCT </w:t>
      </w:r>
      <w:r w:rsidRPr="00021213">
        <w:rPr>
          <w:rFonts w:cs="Arial"/>
          <w:b/>
          <w:color w:val="00B0F0"/>
          <w:szCs w:val="24"/>
        </w:rPr>
        <w:t>?</w:t>
      </w:r>
    </w:p>
    <w:p w14:paraId="3E1347B7" w14:textId="31F3F697" w:rsidR="00336746" w:rsidRPr="007035EB" w:rsidRDefault="00336746" w:rsidP="00336746">
      <w:pPr>
        <w:jc w:val="both"/>
        <w:rPr>
          <w:rFonts w:cs="Arial"/>
          <w:i/>
          <w:color w:val="E36C0A" w:themeColor="accent6" w:themeShade="BF"/>
          <w:szCs w:val="24"/>
        </w:rPr>
      </w:pPr>
      <w:r w:rsidRPr="00F43662">
        <w:rPr>
          <w:rFonts w:cs="Arial"/>
          <w:i/>
          <w:color w:val="E36C0A" w:themeColor="accent6" w:themeShade="BF"/>
          <w:szCs w:val="24"/>
        </w:rPr>
        <w:t>Indicateur 6.1.1 - Réunions statutaires</w:t>
      </w:r>
    </w:p>
    <w:p w14:paraId="04B31A3D" w14:textId="77777777" w:rsidR="00336746" w:rsidRPr="0007762F" w:rsidRDefault="00336746" w:rsidP="00336746">
      <w:pPr>
        <w:jc w:val="both"/>
        <w:rPr>
          <w:rFonts w:cs="Arial"/>
          <w:szCs w:val="24"/>
        </w:rPr>
      </w:pPr>
      <w:r w:rsidRPr="0007762F">
        <w:rPr>
          <w:rFonts w:cs="Arial"/>
          <w:szCs w:val="24"/>
        </w:rPr>
        <w:t>Le recensement du nombre de jours d'activité des représentants en CHSCT et du secrétaire en CHSCT s'inscrit dan</w:t>
      </w:r>
      <w:r>
        <w:rPr>
          <w:rFonts w:cs="Arial"/>
          <w:szCs w:val="24"/>
        </w:rPr>
        <w:t>s la mise en œuvre du décret n°</w:t>
      </w:r>
      <w:r w:rsidRPr="0007762F">
        <w:rPr>
          <w:rFonts w:cs="Arial"/>
          <w:szCs w:val="24"/>
        </w:rPr>
        <w:t>2016-1626 du 29 novembre 2016 pris en application de l'article 61-1 du décret n° 85-603 du 10 juin 1985 relatif à l'hygiène et à la sécurité du travail ainsi qu'à la médecine professionnelle et préventive dans la fonction publique territoriale. Ce décret prévoit que les représentants du personnel des CHSCT disposent d'un contingent annuel d'autorisation d'absence.</w:t>
      </w:r>
    </w:p>
    <w:p w14:paraId="66025912" w14:textId="77777777" w:rsidR="00336746" w:rsidRPr="0007762F" w:rsidRDefault="00336746" w:rsidP="00336746">
      <w:pPr>
        <w:jc w:val="both"/>
        <w:rPr>
          <w:rFonts w:cs="Arial"/>
          <w:szCs w:val="24"/>
        </w:rPr>
      </w:pPr>
      <w:r w:rsidRPr="0007762F">
        <w:rPr>
          <w:rFonts w:cs="Arial"/>
          <w:szCs w:val="24"/>
        </w:rPr>
        <w:t>L'article 61-1 du décret du 10 juin 1985 susmentio</w:t>
      </w:r>
      <w:r>
        <w:rPr>
          <w:rFonts w:cs="Arial"/>
          <w:szCs w:val="24"/>
        </w:rPr>
        <w:t>nné dispose que ce contingent "</w:t>
      </w:r>
      <w:r w:rsidRPr="0007762F">
        <w:rPr>
          <w:rFonts w:cs="Arial"/>
          <w:szCs w:val="24"/>
        </w:rPr>
        <w:t>est utilisé sous forme d'autorisations d'absence d'une demi-journée minimum qui peuvent être programmées." Ce dernier dispose également que : "l'autorité territoriale peut déterminer par arrêté un barème de conversion en heures de ce contingent annuel pour tenir compte des conditions d'exercice particulières des fonctions de certains membres du comité."</w:t>
      </w:r>
    </w:p>
    <w:p w14:paraId="031FE940" w14:textId="77777777" w:rsidR="00336746" w:rsidRDefault="00336746" w:rsidP="00336746">
      <w:pPr>
        <w:jc w:val="both"/>
        <w:rPr>
          <w:rFonts w:cs="Arial"/>
          <w:szCs w:val="24"/>
        </w:rPr>
      </w:pPr>
      <w:r w:rsidRPr="0007762F">
        <w:rPr>
          <w:rFonts w:cs="Arial"/>
          <w:szCs w:val="24"/>
        </w:rPr>
        <w:t>Ainsi, les jours d'activité des représentants et du secrétaire du CHSCT sont à comptabiliser par journée voire par demi-journée d'autorisation d'absence consommés dans l'année en se référant, le cas échéant, à l'arrêté déterminant le barème de conversion en heures.</w:t>
      </w:r>
    </w:p>
    <w:p w14:paraId="7A43EA54" w14:textId="77777777" w:rsidR="00336746" w:rsidRDefault="00336746" w:rsidP="00336746">
      <w:pPr>
        <w:jc w:val="both"/>
        <w:rPr>
          <w:rFonts w:cs="Arial"/>
          <w:szCs w:val="24"/>
        </w:rPr>
      </w:pPr>
    </w:p>
    <w:p w14:paraId="1A818D8F" w14:textId="77777777" w:rsidR="00336746" w:rsidRDefault="00336746" w:rsidP="00336746">
      <w:pPr>
        <w:jc w:val="both"/>
        <w:rPr>
          <w:rFonts w:cs="Arial"/>
          <w:szCs w:val="24"/>
        </w:rPr>
      </w:pPr>
      <w:r w:rsidRPr="007A3715">
        <w:rPr>
          <w:rFonts w:cs="Arial"/>
          <w:szCs w:val="24"/>
        </w:rPr>
        <w:t>Une réunion équivaut à un jour d’activité des représentants</w:t>
      </w:r>
      <w:r>
        <w:rPr>
          <w:rFonts w:cs="Arial"/>
          <w:szCs w:val="24"/>
        </w:rPr>
        <w:t xml:space="preserve"> ou du </w:t>
      </w:r>
      <w:r w:rsidRPr="007A3715">
        <w:rPr>
          <w:rFonts w:cs="Arial"/>
          <w:szCs w:val="24"/>
        </w:rPr>
        <w:t xml:space="preserve">secrétaire </w:t>
      </w:r>
      <w:r>
        <w:rPr>
          <w:rFonts w:cs="Arial"/>
          <w:szCs w:val="24"/>
        </w:rPr>
        <w:t>du</w:t>
      </w:r>
      <w:r w:rsidRPr="007A3715">
        <w:rPr>
          <w:rFonts w:cs="Arial"/>
          <w:szCs w:val="24"/>
        </w:rPr>
        <w:t xml:space="preserve"> CHSCT. </w:t>
      </w:r>
    </w:p>
    <w:p w14:paraId="772066DC" w14:textId="77777777" w:rsidR="00336746" w:rsidRDefault="00336746" w:rsidP="00336746">
      <w:pPr>
        <w:jc w:val="both"/>
        <w:rPr>
          <w:rFonts w:cs="Arial"/>
          <w:szCs w:val="24"/>
        </w:rPr>
      </w:pPr>
    </w:p>
    <w:p w14:paraId="311703CD" w14:textId="77777777" w:rsidR="00336746" w:rsidRPr="00CE19EA" w:rsidRDefault="00336746" w:rsidP="00336746">
      <w:pPr>
        <w:jc w:val="both"/>
        <w:rPr>
          <w:rFonts w:cs="Arial"/>
          <w:szCs w:val="24"/>
        </w:rPr>
      </w:pPr>
      <w:r>
        <w:rPr>
          <w:rFonts w:cs="Arial"/>
          <w:szCs w:val="24"/>
        </w:rPr>
        <w:t>Plus précisément, les éléments pouvant être pris en compte</w:t>
      </w:r>
      <w:r w:rsidRPr="00CE19EA">
        <w:rPr>
          <w:rFonts w:cs="Arial"/>
          <w:szCs w:val="24"/>
        </w:rPr>
        <w:t xml:space="preserve"> dans le dénombrement des jours d’activité des membres du CHSCT sont : </w:t>
      </w:r>
    </w:p>
    <w:p w14:paraId="5AF9AF4E" w14:textId="77777777" w:rsidR="00336746" w:rsidRPr="00CE19EA" w:rsidRDefault="00336746" w:rsidP="00336746">
      <w:pPr>
        <w:numPr>
          <w:ilvl w:val="0"/>
          <w:numId w:val="25"/>
        </w:numPr>
        <w:jc w:val="both"/>
        <w:rPr>
          <w:rFonts w:cs="Arial"/>
          <w:szCs w:val="24"/>
        </w:rPr>
      </w:pPr>
      <w:r w:rsidRPr="00CE19EA">
        <w:rPr>
          <w:rFonts w:cs="Arial"/>
          <w:b/>
          <w:bCs/>
          <w:szCs w:val="24"/>
        </w:rPr>
        <w:t>Les séances</w:t>
      </w:r>
      <w:r w:rsidRPr="00CE19EA">
        <w:rPr>
          <w:rFonts w:cs="Arial"/>
          <w:szCs w:val="24"/>
        </w:rPr>
        <w:t> : temps de la réunion + temps de préparation.</w:t>
      </w:r>
    </w:p>
    <w:p w14:paraId="37C72964" w14:textId="77777777" w:rsidR="00336746" w:rsidRPr="00CE19EA" w:rsidRDefault="00336746" w:rsidP="00336746">
      <w:pPr>
        <w:numPr>
          <w:ilvl w:val="1"/>
          <w:numId w:val="25"/>
        </w:numPr>
        <w:jc w:val="both"/>
        <w:rPr>
          <w:rFonts w:cs="Arial"/>
          <w:szCs w:val="24"/>
        </w:rPr>
      </w:pPr>
      <w:r w:rsidRPr="00CE19EA">
        <w:rPr>
          <w:rFonts w:cs="Arial"/>
          <w:szCs w:val="24"/>
        </w:rPr>
        <w:t>Peut concerner (selon les modalités du règlement intérieur d</w:t>
      </w:r>
      <w:r>
        <w:rPr>
          <w:rFonts w:cs="Arial"/>
          <w:szCs w:val="24"/>
        </w:rPr>
        <w:t>u</w:t>
      </w:r>
      <w:r w:rsidRPr="00CE19EA">
        <w:rPr>
          <w:rFonts w:cs="Arial"/>
          <w:szCs w:val="24"/>
        </w:rPr>
        <w:t xml:space="preserve"> CHSCT) les titulaires ou suppléants siégeant en l’absence du titulaire, ou l’ensemble des membres</w:t>
      </w:r>
    </w:p>
    <w:p w14:paraId="6E8BA3F0" w14:textId="77777777" w:rsidR="00336746" w:rsidRPr="00CE19EA" w:rsidRDefault="00336746" w:rsidP="00336746">
      <w:pPr>
        <w:numPr>
          <w:ilvl w:val="1"/>
          <w:numId w:val="25"/>
        </w:numPr>
        <w:jc w:val="both"/>
        <w:rPr>
          <w:rFonts w:cs="Arial"/>
          <w:szCs w:val="24"/>
        </w:rPr>
      </w:pPr>
      <w:r w:rsidRPr="00CE19EA">
        <w:rPr>
          <w:rFonts w:cs="Arial"/>
          <w:szCs w:val="24"/>
        </w:rPr>
        <w:t>Un temps plus important peut être prévu pour le secrétaire (réunion préparatoire et/ou rédaction du PV)</w:t>
      </w:r>
    </w:p>
    <w:p w14:paraId="7E1D1A61" w14:textId="77777777" w:rsidR="00336746" w:rsidRPr="00CE19EA" w:rsidRDefault="00336746" w:rsidP="00336746">
      <w:pPr>
        <w:numPr>
          <w:ilvl w:val="0"/>
          <w:numId w:val="25"/>
        </w:numPr>
        <w:jc w:val="both"/>
        <w:rPr>
          <w:rFonts w:cs="Arial"/>
          <w:szCs w:val="24"/>
        </w:rPr>
      </w:pPr>
      <w:r w:rsidRPr="00CE19EA">
        <w:rPr>
          <w:rFonts w:cs="Arial"/>
          <w:b/>
          <w:bCs/>
          <w:szCs w:val="24"/>
        </w:rPr>
        <w:t>Les droits de retrait, visites de locaux ou analyses d’accidents</w:t>
      </w:r>
      <w:r w:rsidRPr="00CE19EA">
        <w:rPr>
          <w:rFonts w:cs="Arial"/>
          <w:szCs w:val="24"/>
        </w:rPr>
        <w:t xml:space="preserve"> : Durée des travaux + préparation et rédaction de rapports. </w:t>
      </w:r>
    </w:p>
    <w:p w14:paraId="3D8A0688" w14:textId="77777777" w:rsidR="00336746" w:rsidRPr="00CE19EA" w:rsidRDefault="00336746" w:rsidP="00336746">
      <w:pPr>
        <w:numPr>
          <w:ilvl w:val="1"/>
          <w:numId w:val="25"/>
        </w:numPr>
        <w:jc w:val="both"/>
        <w:rPr>
          <w:rFonts w:cs="Arial"/>
          <w:szCs w:val="24"/>
        </w:rPr>
      </w:pPr>
      <w:r w:rsidRPr="00CE19EA">
        <w:rPr>
          <w:rFonts w:cs="Arial"/>
          <w:szCs w:val="24"/>
        </w:rPr>
        <w:t>Cela concerne uniquement les membres de la délégation mobilisée</w:t>
      </w:r>
    </w:p>
    <w:p w14:paraId="14D47D4A" w14:textId="05F9F8DB" w:rsidR="00336746" w:rsidRPr="00792EFA" w:rsidRDefault="00336746" w:rsidP="00336746">
      <w:pPr>
        <w:numPr>
          <w:ilvl w:val="0"/>
          <w:numId w:val="25"/>
        </w:numPr>
        <w:jc w:val="both"/>
        <w:rPr>
          <w:rFonts w:cs="Arial"/>
          <w:szCs w:val="24"/>
        </w:rPr>
      </w:pPr>
      <w:r w:rsidRPr="00CE19EA">
        <w:rPr>
          <w:rFonts w:cs="Arial"/>
          <w:b/>
          <w:bCs/>
          <w:szCs w:val="24"/>
        </w:rPr>
        <w:t>Les contingents de jours d’absence pour participer aux travaux du CHSCT</w:t>
      </w:r>
      <w:r w:rsidRPr="00CE19EA">
        <w:rPr>
          <w:rFonts w:cs="Arial"/>
          <w:szCs w:val="24"/>
        </w:rPr>
        <w:t xml:space="preserve"> (hors analyse d’</w:t>
      </w:r>
      <w:r>
        <w:rPr>
          <w:rFonts w:cs="Arial"/>
          <w:szCs w:val="24"/>
        </w:rPr>
        <w:t>accidents de travails et de maladies professionnelles</w:t>
      </w:r>
      <w:r w:rsidRPr="00CE19EA">
        <w:rPr>
          <w:rFonts w:cs="Arial"/>
          <w:szCs w:val="24"/>
        </w:rPr>
        <w:t>, visite de locaux ou interventions dans le cadre du droit de retrait) : fixé pour les membres par décret et majoré pour le secrétaire.</w:t>
      </w:r>
    </w:p>
    <w:p w14:paraId="36D734DC" w14:textId="77777777" w:rsidR="00336746" w:rsidRDefault="00336746" w:rsidP="00336746">
      <w:pPr>
        <w:jc w:val="both"/>
        <w:rPr>
          <w:rFonts w:cs="Arial"/>
          <w:b/>
          <w:color w:val="00B0F0"/>
          <w:szCs w:val="24"/>
        </w:rPr>
      </w:pPr>
    </w:p>
    <w:p w14:paraId="79139F81" w14:textId="77777777" w:rsidR="00336746" w:rsidRPr="00F43662" w:rsidRDefault="00336746" w:rsidP="00336746">
      <w:pPr>
        <w:jc w:val="both"/>
        <w:rPr>
          <w:rFonts w:cs="Arial"/>
          <w:b/>
          <w:color w:val="00B0F0"/>
          <w:szCs w:val="24"/>
        </w:rPr>
      </w:pPr>
      <w:r w:rsidRPr="00F43662">
        <w:rPr>
          <w:rFonts w:cs="Arial"/>
          <w:b/>
          <w:color w:val="00B0F0"/>
          <w:szCs w:val="24"/>
        </w:rPr>
        <w:t>La CAP</w:t>
      </w:r>
      <w:r>
        <w:rPr>
          <w:rFonts w:cs="Arial"/>
          <w:b/>
          <w:color w:val="00B0F0"/>
          <w:szCs w:val="24"/>
        </w:rPr>
        <w:t>/CCP</w:t>
      </w:r>
      <w:r w:rsidRPr="00F43662">
        <w:rPr>
          <w:rFonts w:cs="Arial"/>
          <w:b/>
          <w:color w:val="00B0F0"/>
          <w:szCs w:val="24"/>
        </w:rPr>
        <w:t xml:space="preserve"> dont relève ma collectivité est placée auprès du centre de gestion. Dois-je renseigner le nombre de séance ?</w:t>
      </w:r>
    </w:p>
    <w:p w14:paraId="00DB11ED" w14:textId="77777777" w:rsidR="00336746" w:rsidRPr="00F43662" w:rsidRDefault="00336746" w:rsidP="00336746">
      <w:pPr>
        <w:jc w:val="both"/>
        <w:rPr>
          <w:rFonts w:cs="Arial"/>
          <w:i/>
          <w:color w:val="E36C0A" w:themeColor="accent6" w:themeShade="BF"/>
          <w:szCs w:val="24"/>
        </w:rPr>
      </w:pPr>
      <w:r w:rsidRPr="00F43662">
        <w:rPr>
          <w:rFonts w:cs="Arial"/>
          <w:i/>
          <w:color w:val="E36C0A" w:themeColor="accent6" w:themeShade="BF"/>
          <w:szCs w:val="24"/>
        </w:rPr>
        <w:t>Indicateur 6.1.1 - Réunions statutaires</w:t>
      </w:r>
    </w:p>
    <w:p w14:paraId="6F4B6086" w14:textId="77777777" w:rsidR="00336746" w:rsidRPr="00021213" w:rsidRDefault="00336746" w:rsidP="00336746">
      <w:pPr>
        <w:jc w:val="both"/>
        <w:rPr>
          <w:color w:val="000000"/>
          <w:szCs w:val="24"/>
        </w:rPr>
      </w:pPr>
      <w:r w:rsidRPr="00F43662">
        <w:rPr>
          <w:color w:val="000000"/>
          <w:szCs w:val="24"/>
        </w:rPr>
        <w:t>Non, cet indicateur est réservé aux collectivités qui assurent elles-mêmes le secrétariat de ces organismes paritaires en leur sein. Il en est de même pour le comité technique et le comité</w:t>
      </w:r>
      <w:r>
        <w:rPr>
          <w:color w:val="000000"/>
          <w:szCs w:val="24"/>
        </w:rPr>
        <w:t xml:space="preserve"> d’hygiène, de sécurité et des conditions de travail.</w:t>
      </w:r>
    </w:p>
    <w:p w14:paraId="39C2F40F" w14:textId="093181AD" w:rsidR="00336746" w:rsidRDefault="00336746" w:rsidP="00336746">
      <w:pPr>
        <w:jc w:val="both"/>
        <w:rPr>
          <w:color w:val="000000"/>
          <w:szCs w:val="24"/>
          <w:u w:val="single"/>
        </w:rPr>
      </w:pPr>
    </w:p>
    <w:p w14:paraId="0719C0BD" w14:textId="77777777" w:rsidR="00336746" w:rsidRDefault="00336746" w:rsidP="00336746">
      <w:pPr>
        <w:jc w:val="both"/>
        <w:rPr>
          <w:rFonts w:cs="Arial"/>
          <w:b/>
          <w:color w:val="00B0F0"/>
          <w:szCs w:val="24"/>
        </w:rPr>
      </w:pPr>
      <w:r w:rsidRPr="004E1C19">
        <w:rPr>
          <w:rFonts w:cs="Arial"/>
          <w:b/>
          <w:color w:val="00B0F0"/>
          <w:szCs w:val="24"/>
        </w:rPr>
        <w:t>Qu’entend-on par « décharges d’activité de service » ? Comment les calculer ?</w:t>
      </w:r>
    </w:p>
    <w:p w14:paraId="0203CB9C" w14:textId="77777777" w:rsidR="00336746" w:rsidRPr="00482313" w:rsidRDefault="00336746" w:rsidP="00336746">
      <w:pPr>
        <w:jc w:val="both"/>
        <w:rPr>
          <w:rFonts w:cs="Arial"/>
          <w:i/>
          <w:color w:val="E36C0A" w:themeColor="accent6" w:themeShade="BF"/>
          <w:szCs w:val="24"/>
        </w:rPr>
      </w:pPr>
      <w:r w:rsidRPr="00482313">
        <w:rPr>
          <w:rFonts w:cs="Arial"/>
          <w:i/>
          <w:color w:val="E36C0A" w:themeColor="accent6" w:themeShade="BF"/>
          <w:szCs w:val="24"/>
        </w:rPr>
        <w:t>Indicateur 6.1.2 – « Droits syndicaux »</w:t>
      </w:r>
    </w:p>
    <w:p w14:paraId="66A6D4F2" w14:textId="77777777" w:rsidR="00336746" w:rsidRPr="00AB15BC" w:rsidRDefault="00336746" w:rsidP="00336746">
      <w:pPr>
        <w:jc w:val="both"/>
        <w:rPr>
          <w:color w:val="000000"/>
          <w:szCs w:val="24"/>
        </w:rPr>
      </w:pPr>
      <w:r w:rsidRPr="00AB15BC">
        <w:rPr>
          <w:rFonts w:cs="Arial"/>
          <w:color w:val="000000"/>
          <w:szCs w:val="24"/>
        </w:rPr>
        <w:t xml:space="preserve">Une décharge d’activité de service correspond à l’autorisation donnée à un agent d’exercer une activité syndicale pendant ses heures de services ; elle peut être totale ou partielle et elle est cumulable avec les autorisations d’absence pour mandat syndical. Ces décharges sont attribuées </w:t>
      </w:r>
      <w:r w:rsidRPr="00AB15BC">
        <w:rPr>
          <w:rFonts w:cs="Arial"/>
          <w:color w:val="000000"/>
          <w:szCs w:val="24"/>
        </w:rPr>
        <w:lastRenderedPageBreak/>
        <w:t xml:space="preserve">annuellement par la collectivité, l’établissement ou le </w:t>
      </w:r>
      <w:r>
        <w:rPr>
          <w:rFonts w:cs="Arial"/>
          <w:color w:val="000000"/>
          <w:szCs w:val="24"/>
        </w:rPr>
        <w:t>centre de gestion,</w:t>
      </w:r>
      <w:r w:rsidRPr="00AB15BC">
        <w:rPr>
          <w:rFonts w:cs="Arial"/>
          <w:color w:val="000000"/>
          <w:szCs w:val="24"/>
        </w:rPr>
        <w:t xml:space="preserve"> sous la forme d’un crédit global d’heures, selon un barème appliq</w:t>
      </w:r>
      <w:r>
        <w:rPr>
          <w:rFonts w:cs="Arial"/>
          <w:color w:val="000000"/>
          <w:szCs w:val="24"/>
        </w:rPr>
        <w:t>ué au nombre d’agents employés.</w:t>
      </w:r>
    </w:p>
    <w:p w14:paraId="29442760" w14:textId="77777777" w:rsidR="00336746" w:rsidRDefault="00336746" w:rsidP="00336746">
      <w:pPr>
        <w:jc w:val="both"/>
        <w:rPr>
          <w:color w:val="000000"/>
        </w:rPr>
      </w:pPr>
    </w:p>
    <w:p w14:paraId="36A76817" w14:textId="77777777" w:rsidR="00336746" w:rsidRDefault="00336746" w:rsidP="00336746">
      <w:pPr>
        <w:jc w:val="both"/>
        <w:rPr>
          <w:rFonts w:cs="Arial"/>
          <w:b/>
          <w:color w:val="00B0F0"/>
          <w:szCs w:val="24"/>
        </w:rPr>
      </w:pPr>
      <w:r w:rsidRPr="004E1C19">
        <w:rPr>
          <w:rFonts w:cs="Arial"/>
          <w:b/>
          <w:color w:val="00B0F0"/>
          <w:szCs w:val="24"/>
        </w:rPr>
        <w:t>Qu’entend-on par « protocole d’accord » ?</w:t>
      </w:r>
    </w:p>
    <w:p w14:paraId="4F510881" w14:textId="77777777" w:rsidR="00336746" w:rsidRPr="00482313" w:rsidRDefault="00336746" w:rsidP="00336746">
      <w:pPr>
        <w:jc w:val="both"/>
        <w:rPr>
          <w:rFonts w:cs="Arial"/>
          <w:i/>
          <w:color w:val="E36C0A" w:themeColor="accent6" w:themeShade="BF"/>
          <w:szCs w:val="24"/>
        </w:rPr>
      </w:pPr>
      <w:r w:rsidRPr="00482313">
        <w:rPr>
          <w:rFonts w:cs="Arial"/>
          <w:i/>
          <w:color w:val="E36C0A" w:themeColor="accent6" w:themeShade="BF"/>
          <w:szCs w:val="24"/>
        </w:rPr>
        <w:t>Indicateur 6.1.2 – « Droits syndicaux »</w:t>
      </w:r>
    </w:p>
    <w:p w14:paraId="72C02802" w14:textId="77777777" w:rsidR="00336746" w:rsidRPr="003C2FCA" w:rsidRDefault="00336746" w:rsidP="00336746">
      <w:pPr>
        <w:jc w:val="both"/>
      </w:pPr>
      <w:r w:rsidRPr="003C2FCA">
        <w:t>Le « protocole d’accord » est un document négocié avec les organisations syndicales représentées au sein de la collectivité qui détermine les modalités pratiques d'exercice du d</w:t>
      </w:r>
      <w:r>
        <w:t>roit syndical (moyens, locaux, etc.</w:t>
      </w:r>
      <w:r w:rsidRPr="003C2FCA">
        <w:t>)</w:t>
      </w:r>
    </w:p>
    <w:p w14:paraId="353ED105" w14:textId="77777777" w:rsidR="00336746" w:rsidRPr="003C2FCA" w:rsidRDefault="00336746" w:rsidP="00336746">
      <w:pPr>
        <w:jc w:val="both"/>
      </w:pPr>
    </w:p>
    <w:p w14:paraId="45E58BD3" w14:textId="77777777" w:rsidR="00336746" w:rsidRDefault="00336746" w:rsidP="00336746">
      <w:pPr>
        <w:jc w:val="both"/>
        <w:rPr>
          <w:rFonts w:cs="Arial"/>
          <w:b/>
          <w:color w:val="00B0F0"/>
          <w:szCs w:val="24"/>
        </w:rPr>
      </w:pPr>
      <w:r w:rsidRPr="004E1C19">
        <w:rPr>
          <w:rFonts w:cs="Arial"/>
          <w:b/>
          <w:color w:val="00B0F0"/>
          <w:szCs w:val="24"/>
        </w:rPr>
        <w:t>Comment comptabiliser le nombre de jours de grève ?</w:t>
      </w:r>
    </w:p>
    <w:p w14:paraId="123203C8" w14:textId="77777777" w:rsidR="00336746" w:rsidRPr="00300EB0" w:rsidRDefault="00336746" w:rsidP="00336746">
      <w:pPr>
        <w:jc w:val="both"/>
        <w:rPr>
          <w:rFonts w:cs="Arial"/>
          <w:i/>
          <w:color w:val="E36C0A" w:themeColor="accent6" w:themeShade="BF"/>
          <w:szCs w:val="24"/>
        </w:rPr>
      </w:pPr>
      <w:r>
        <w:rPr>
          <w:rFonts w:cs="Arial"/>
          <w:i/>
          <w:color w:val="E36C0A" w:themeColor="accent6" w:themeShade="BF"/>
          <w:szCs w:val="24"/>
        </w:rPr>
        <w:t xml:space="preserve">Indicateur </w:t>
      </w:r>
      <w:r w:rsidRPr="00A24BF7">
        <w:rPr>
          <w:rFonts w:cs="Arial"/>
          <w:i/>
          <w:color w:val="E36C0A" w:themeColor="accent6" w:themeShade="BF"/>
          <w:szCs w:val="24"/>
        </w:rPr>
        <w:t xml:space="preserve">6.1.3 </w:t>
      </w:r>
      <w:r>
        <w:rPr>
          <w:rFonts w:cs="Arial"/>
          <w:i/>
          <w:color w:val="E36C0A" w:themeColor="accent6" w:themeShade="BF"/>
          <w:szCs w:val="24"/>
        </w:rPr>
        <w:t>– «</w:t>
      </w:r>
      <w:r w:rsidRPr="00A24BF7">
        <w:rPr>
          <w:rFonts w:cs="Arial"/>
          <w:i/>
          <w:color w:val="E36C0A" w:themeColor="accent6" w:themeShade="BF"/>
          <w:szCs w:val="24"/>
        </w:rPr>
        <w:t xml:space="preserve"> Conflits du travail : grèves</w:t>
      </w:r>
      <w:r>
        <w:rPr>
          <w:rFonts w:cs="Arial"/>
          <w:i/>
          <w:color w:val="E36C0A" w:themeColor="accent6" w:themeShade="BF"/>
          <w:szCs w:val="24"/>
        </w:rPr>
        <w:t> »</w:t>
      </w:r>
    </w:p>
    <w:p w14:paraId="23C7D93D" w14:textId="77777777" w:rsidR="00336746" w:rsidRPr="003C2FCA" w:rsidRDefault="00336746" w:rsidP="00336746">
      <w:pPr>
        <w:spacing w:after="120"/>
        <w:jc w:val="both"/>
      </w:pPr>
      <w:r w:rsidRPr="00FD0FB7">
        <w:rPr>
          <w:color w:val="000000"/>
        </w:rPr>
        <w:t xml:space="preserve">Le nombre de jours de grève doit être indiqué pour </w:t>
      </w:r>
      <w:r w:rsidRPr="003C2FCA">
        <w:t>l</w:t>
      </w:r>
      <w:r>
        <w:t>’</w:t>
      </w:r>
      <w:r w:rsidRPr="003C2FCA">
        <w:t>année 20</w:t>
      </w:r>
      <w:r>
        <w:t>21</w:t>
      </w:r>
      <w:r w:rsidRPr="003C2FCA">
        <w:t>.</w:t>
      </w:r>
    </w:p>
    <w:p w14:paraId="44E5BADF" w14:textId="77777777" w:rsidR="00336746" w:rsidRPr="00FD0FB7" w:rsidRDefault="00336746" w:rsidP="00336746">
      <w:pPr>
        <w:spacing w:after="120"/>
        <w:jc w:val="both"/>
        <w:rPr>
          <w:color w:val="000000"/>
        </w:rPr>
      </w:pPr>
      <w:r w:rsidRPr="00FD0FB7">
        <w:rPr>
          <w:color w:val="000000"/>
        </w:rPr>
        <w:t xml:space="preserve">Pour les arrêts de travail </w:t>
      </w:r>
      <w:r>
        <w:rPr>
          <w:color w:val="000000"/>
        </w:rPr>
        <w:t xml:space="preserve">pour grève </w:t>
      </w:r>
      <w:r w:rsidRPr="00FD0FB7">
        <w:rPr>
          <w:color w:val="000000"/>
        </w:rPr>
        <w:t xml:space="preserve">d'une durée inférieure à une journée, </w:t>
      </w:r>
      <w:r>
        <w:rPr>
          <w:color w:val="000000"/>
        </w:rPr>
        <w:t xml:space="preserve">il est nécessaire de </w:t>
      </w:r>
      <w:r w:rsidRPr="00FD0FB7">
        <w:rPr>
          <w:color w:val="000000"/>
        </w:rPr>
        <w:t xml:space="preserve">ramener </w:t>
      </w:r>
      <w:r>
        <w:rPr>
          <w:color w:val="000000"/>
        </w:rPr>
        <w:t xml:space="preserve">ce nombre </w:t>
      </w:r>
      <w:r w:rsidRPr="00FD0FB7">
        <w:rPr>
          <w:color w:val="000000"/>
        </w:rPr>
        <w:t>au nombre de journées en se basant sur une journée de travail de 7 heures.</w:t>
      </w:r>
    </w:p>
    <w:p w14:paraId="3C3EE251" w14:textId="77777777" w:rsidR="00336746" w:rsidRDefault="00336746" w:rsidP="00336746">
      <w:pPr>
        <w:spacing w:after="120"/>
        <w:jc w:val="both"/>
        <w:rPr>
          <w:color w:val="000000"/>
        </w:rPr>
      </w:pPr>
      <w:r w:rsidRPr="00FD0FB7">
        <w:rPr>
          <w:color w:val="000000"/>
        </w:rPr>
        <w:t>Exemples :</w:t>
      </w:r>
      <w:r>
        <w:rPr>
          <w:color w:val="000000"/>
        </w:rPr>
        <w:t xml:space="preserve"> </w:t>
      </w:r>
      <w:r w:rsidRPr="00FD0FB7">
        <w:rPr>
          <w:color w:val="000000"/>
        </w:rPr>
        <w:t>2 agents se mettent en grève pendant 3 jours, mentionner (2 X 3) = 6 jours de grève. Si 25 agents effectuent un débrayage de 2 heures</w:t>
      </w:r>
      <w:r>
        <w:rPr>
          <w:color w:val="000000"/>
        </w:rPr>
        <w:t xml:space="preserve"> </w:t>
      </w:r>
      <w:r w:rsidRPr="00FD0FB7">
        <w:rPr>
          <w:color w:val="000000"/>
        </w:rPr>
        <w:t>; alors : (25 agents x 2 heures) = 50 heures soit (50 heures / 7 heures par jour)</w:t>
      </w:r>
      <w:r>
        <w:rPr>
          <w:color w:val="000000"/>
        </w:rPr>
        <w:t xml:space="preserve"> = 7,14 :</w:t>
      </w:r>
      <w:r w:rsidRPr="00FD0FB7">
        <w:rPr>
          <w:color w:val="000000"/>
        </w:rPr>
        <w:t xml:space="preserve"> mentionner 7 jours de grève au total</w:t>
      </w:r>
      <w:r>
        <w:rPr>
          <w:color w:val="000000"/>
        </w:rPr>
        <w:t>.</w:t>
      </w:r>
    </w:p>
    <w:p w14:paraId="537D0714" w14:textId="44A93334" w:rsidR="00336746" w:rsidRDefault="00336746" w:rsidP="00336746">
      <w:pPr>
        <w:overflowPunct/>
        <w:autoSpaceDE/>
        <w:autoSpaceDN/>
        <w:adjustRightInd/>
        <w:jc w:val="both"/>
        <w:textAlignment w:val="auto"/>
        <w:rPr>
          <w:color w:val="000000"/>
        </w:rPr>
      </w:pPr>
    </w:p>
    <w:p w14:paraId="46742435" w14:textId="77777777" w:rsidR="00336746" w:rsidRPr="00133E3C" w:rsidRDefault="00336746" w:rsidP="00336746">
      <w:pPr>
        <w:overflowPunct/>
        <w:autoSpaceDE/>
        <w:autoSpaceDN/>
        <w:adjustRightInd/>
        <w:jc w:val="both"/>
        <w:textAlignment w:val="auto"/>
        <w:rPr>
          <w:rFonts w:cs="Arial"/>
          <w:b/>
          <w:color w:val="00B0F0"/>
          <w:szCs w:val="24"/>
        </w:rPr>
      </w:pPr>
      <w:r w:rsidRPr="00354FB2">
        <w:rPr>
          <w:b/>
          <w:bCs/>
          <w:color w:val="FF0000"/>
        </w:rPr>
        <w:t>Nouveauté RSU 2021 :</w:t>
      </w:r>
      <w:r>
        <w:rPr>
          <w:b/>
          <w:bCs/>
          <w:color w:val="FF0000"/>
        </w:rPr>
        <w:t xml:space="preserve"> </w:t>
      </w:r>
      <w:r w:rsidRPr="00133E3C">
        <w:rPr>
          <w:rFonts w:cs="Arial"/>
          <w:b/>
          <w:color w:val="00B0F0"/>
          <w:szCs w:val="24"/>
        </w:rPr>
        <w:t>Comment comptabiliser les représentants du personnel par type d’instance ?</w:t>
      </w:r>
    </w:p>
    <w:p w14:paraId="7176650E" w14:textId="38F29A1D" w:rsidR="00336746" w:rsidRDefault="00336746" w:rsidP="00336746">
      <w:pPr>
        <w:overflowPunct/>
        <w:autoSpaceDE/>
        <w:autoSpaceDN/>
        <w:adjustRightInd/>
        <w:jc w:val="both"/>
        <w:textAlignment w:val="auto"/>
        <w:rPr>
          <w:color w:val="000000"/>
          <w:highlight w:val="yellow"/>
        </w:rPr>
      </w:pPr>
      <w:r>
        <w:rPr>
          <w:rFonts w:cs="Arial"/>
          <w:i/>
          <w:color w:val="E36C0A" w:themeColor="accent6" w:themeShade="BF"/>
          <w:szCs w:val="24"/>
        </w:rPr>
        <w:t xml:space="preserve">Indicateur </w:t>
      </w:r>
      <w:r w:rsidRPr="00133E3C">
        <w:rPr>
          <w:rFonts w:cs="Arial"/>
          <w:i/>
          <w:color w:val="E36C0A" w:themeColor="accent6" w:themeShade="BF"/>
          <w:szCs w:val="24"/>
        </w:rPr>
        <w:t>6.1.0 </w:t>
      </w:r>
    </w:p>
    <w:p w14:paraId="660FBCCD" w14:textId="77777777" w:rsidR="00336746" w:rsidRPr="000D512B" w:rsidRDefault="00336746" w:rsidP="00336746">
      <w:pPr>
        <w:overflowPunct/>
        <w:autoSpaceDE/>
        <w:autoSpaceDN/>
        <w:adjustRightInd/>
        <w:jc w:val="both"/>
        <w:textAlignment w:val="auto"/>
        <w:rPr>
          <w:color w:val="000000"/>
        </w:rPr>
      </w:pPr>
      <w:r w:rsidRPr="000D512B">
        <w:rPr>
          <w:color w:val="000000"/>
        </w:rPr>
        <w:t xml:space="preserve">Les représentants du personnel sont élus par les agents lors des élections professionnelles. </w:t>
      </w:r>
      <w:r>
        <w:rPr>
          <w:color w:val="000000"/>
        </w:rPr>
        <w:t>Une fois élus, i</w:t>
      </w:r>
      <w:r w:rsidRPr="000D512B">
        <w:rPr>
          <w:color w:val="000000"/>
        </w:rPr>
        <w:t>ls siègent dans les instances de dialogue social</w:t>
      </w:r>
      <w:r>
        <w:rPr>
          <w:color w:val="000000"/>
        </w:rPr>
        <w:t xml:space="preserve"> suivantes :</w:t>
      </w:r>
    </w:p>
    <w:p w14:paraId="04CAE1EA" w14:textId="77777777" w:rsidR="00336746" w:rsidRPr="000D512B" w:rsidRDefault="00336746" w:rsidP="00336746">
      <w:pPr>
        <w:overflowPunct/>
        <w:autoSpaceDE/>
        <w:autoSpaceDN/>
        <w:adjustRightInd/>
        <w:jc w:val="both"/>
        <w:textAlignment w:val="auto"/>
        <w:rPr>
          <w:color w:val="000000"/>
        </w:rPr>
      </w:pPr>
      <w:r w:rsidRPr="000D512B">
        <w:rPr>
          <w:color w:val="000000"/>
        </w:rPr>
        <w:t>- les commissions administratives paritaires (CAP) qui traitent des situations individuelles des fonctionnaires et disposent d’une formation disciplinaire</w:t>
      </w:r>
      <w:r>
        <w:rPr>
          <w:color w:val="000000"/>
        </w:rPr>
        <w:t> ;</w:t>
      </w:r>
    </w:p>
    <w:p w14:paraId="76496E86" w14:textId="77777777" w:rsidR="00336746" w:rsidRPr="00354FB2" w:rsidRDefault="00336746" w:rsidP="00336746">
      <w:pPr>
        <w:jc w:val="both"/>
        <w:rPr>
          <w:color w:val="000000"/>
        </w:rPr>
      </w:pPr>
      <w:r w:rsidRPr="000D512B">
        <w:rPr>
          <w:color w:val="000000"/>
        </w:rPr>
        <w:t>- les commission consultatives paritaires (CCP) qui s’occupent des s</w:t>
      </w:r>
      <w:r w:rsidRPr="00354FB2">
        <w:rPr>
          <w:color w:val="000000"/>
        </w:rPr>
        <w:t xml:space="preserve">ituations individuelles des contractuels de droit public </w:t>
      </w:r>
      <w:r w:rsidRPr="000D512B">
        <w:rPr>
          <w:color w:val="000000"/>
        </w:rPr>
        <w:t>et comportent aussi une formation disciplinaire</w:t>
      </w:r>
      <w:r>
        <w:rPr>
          <w:color w:val="000000"/>
        </w:rPr>
        <w:t> ;</w:t>
      </w:r>
    </w:p>
    <w:p w14:paraId="7A22046F" w14:textId="77777777" w:rsidR="00336746" w:rsidRDefault="00336746" w:rsidP="00336746">
      <w:pPr>
        <w:overflowPunct/>
        <w:autoSpaceDE/>
        <w:autoSpaceDN/>
        <w:adjustRightInd/>
        <w:jc w:val="both"/>
        <w:textAlignment w:val="auto"/>
        <w:rPr>
          <w:color w:val="000000"/>
        </w:rPr>
      </w:pPr>
      <w:r w:rsidRPr="000D512B">
        <w:rPr>
          <w:color w:val="000000"/>
        </w:rPr>
        <w:t>- les comités techniques</w:t>
      </w:r>
      <w:r>
        <w:rPr>
          <w:color w:val="000000"/>
        </w:rPr>
        <w:t xml:space="preserve"> (CT)</w:t>
      </w:r>
      <w:r w:rsidRPr="000D512B">
        <w:rPr>
          <w:color w:val="000000"/>
        </w:rPr>
        <w:t xml:space="preserve"> qui </w:t>
      </w:r>
      <w:r>
        <w:rPr>
          <w:color w:val="000000"/>
        </w:rPr>
        <w:t>s’intéressent</w:t>
      </w:r>
      <w:r w:rsidRPr="000D512B">
        <w:rPr>
          <w:color w:val="000000"/>
        </w:rPr>
        <w:t xml:space="preserve"> notamment </w:t>
      </w:r>
      <w:r>
        <w:rPr>
          <w:color w:val="000000"/>
        </w:rPr>
        <w:t>à</w:t>
      </w:r>
      <w:r w:rsidRPr="000D512B">
        <w:rPr>
          <w:color w:val="000000"/>
        </w:rPr>
        <w:t xml:space="preserve"> l’organisation de la collectivité, </w:t>
      </w:r>
      <w:r>
        <w:rPr>
          <w:color w:val="000000"/>
        </w:rPr>
        <w:t>au</w:t>
      </w:r>
      <w:r w:rsidRPr="000D512B">
        <w:rPr>
          <w:color w:val="000000"/>
        </w:rPr>
        <w:t xml:space="preserve"> fonctionnement des services et </w:t>
      </w:r>
      <w:r>
        <w:rPr>
          <w:color w:val="000000"/>
        </w:rPr>
        <w:t>aux</w:t>
      </w:r>
      <w:r w:rsidRPr="000D512B">
        <w:rPr>
          <w:color w:val="000000"/>
        </w:rPr>
        <w:t xml:space="preserve"> orientations stratégiques sur les politiques RH</w:t>
      </w:r>
      <w:r>
        <w:rPr>
          <w:color w:val="000000"/>
        </w:rPr>
        <w:t>. Après les élections professionnelles de 2022, les CT seront remplacés par les c</w:t>
      </w:r>
      <w:r w:rsidRPr="000D512B">
        <w:rPr>
          <w:color w:val="000000"/>
        </w:rPr>
        <w:t>omité</w:t>
      </w:r>
      <w:r>
        <w:rPr>
          <w:color w:val="000000"/>
        </w:rPr>
        <w:t>s</w:t>
      </w:r>
      <w:r w:rsidRPr="000D512B">
        <w:rPr>
          <w:color w:val="000000"/>
        </w:rPr>
        <w:t xml:space="preserve"> socia</w:t>
      </w:r>
      <w:r>
        <w:rPr>
          <w:color w:val="000000"/>
        </w:rPr>
        <w:t>ux</w:t>
      </w:r>
      <w:r w:rsidRPr="000D512B">
        <w:rPr>
          <w:color w:val="000000"/>
        </w:rPr>
        <w:t xml:space="preserve"> territoria</w:t>
      </w:r>
      <w:r>
        <w:rPr>
          <w:color w:val="000000"/>
        </w:rPr>
        <w:t>ux (CST).</w:t>
      </w:r>
    </w:p>
    <w:p w14:paraId="06111CF9" w14:textId="77777777" w:rsidR="00336746" w:rsidRDefault="00336746" w:rsidP="00336746">
      <w:pPr>
        <w:overflowPunct/>
        <w:autoSpaceDE/>
        <w:autoSpaceDN/>
        <w:adjustRightInd/>
        <w:jc w:val="both"/>
        <w:textAlignment w:val="auto"/>
        <w:rPr>
          <w:rFonts w:cs="Arial"/>
          <w:i/>
          <w:color w:val="E36C0A" w:themeColor="accent6" w:themeShade="BF"/>
          <w:szCs w:val="24"/>
        </w:rPr>
      </w:pPr>
      <w:r>
        <w:rPr>
          <w:color w:val="000000"/>
        </w:rPr>
        <w:t>Pour chaque type d’instance, le nombre de représentants du personnel y siégeant est</w:t>
      </w:r>
      <w:r w:rsidRPr="009A10E0">
        <w:rPr>
          <w:color w:val="000000"/>
        </w:rPr>
        <w:t xml:space="preserve"> à renseigner </w:t>
      </w:r>
      <w:r>
        <w:rPr>
          <w:color w:val="000000"/>
        </w:rPr>
        <w:t xml:space="preserve">à l’indicateur </w:t>
      </w:r>
      <w:r w:rsidRPr="00133E3C">
        <w:rPr>
          <w:rFonts w:cs="Arial"/>
          <w:i/>
          <w:color w:val="E36C0A" w:themeColor="accent6" w:themeShade="BF"/>
          <w:szCs w:val="24"/>
        </w:rPr>
        <w:t>6.1.0</w:t>
      </w:r>
      <w:r>
        <w:rPr>
          <w:rFonts w:cs="Arial"/>
          <w:i/>
          <w:color w:val="E36C0A" w:themeColor="accent6" w:themeShade="BF"/>
          <w:szCs w:val="24"/>
        </w:rPr>
        <w:t>.</w:t>
      </w:r>
      <w:r w:rsidRPr="00133E3C">
        <w:rPr>
          <w:rFonts w:cs="Arial"/>
          <w:i/>
          <w:color w:val="E36C0A" w:themeColor="accent6" w:themeShade="BF"/>
          <w:szCs w:val="24"/>
        </w:rPr>
        <w:t> </w:t>
      </w:r>
    </w:p>
    <w:p w14:paraId="59913FAB" w14:textId="77777777" w:rsidR="00336746" w:rsidRPr="000D512B" w:rsidRDefault="00336746" w:rsidP="00336746">
      <w:pPr>
        <w:overflowPunct/>
        <w:autoSpaceDE/>
        <w:autoSpaceDN/>
        <w:adjustRightInd/>
        <w:jc w:val="both"/>
        <w:textAlignment w:val="auto"/>
        <w:rPr>
          <w:color w:val="000000"/>
        </w:rPr>
      </w:pPr>
    </w:p>
    <w:p w14:paraId="34445A57" w14:textId="77777777" w:rsidR="00336746" w:rsidRPr="00B7781B" w:rsidRDefault="00336746" w:rsidP="00336746">
      <w:pPr>
        <w:overflowPunct/>
        <w:autoSpaceDE/>
        <w:autoSpaceDN/>
        <w:adjustRightInd/>
        <w:jc w:val="both"/>
        <w:textAlignment w:val="auto"/>
        <w:rPr>
          <w:color w:val="000000"/>
          <w:highlight w:val="yellow"/>
        </w:rPr>
      </w:pPr>
      <w:r w:rsidRPr="00354FB2">
        <w:rPr>
          <w:b/>
          <w:bCs/>
          <w:color w:val="FF0000"/>
        </w:rPr>
        <w:t>Nouveauté RSU 2021 :</w:t>
      </w:r>
      <w:r>
        <w:rPr>
          <w:b/>
          <w:bCs/>
          <w:color w:val="FF0000"/>
        </w:rPr>
        <w:t xml:space="preserve"> </w:t>
      </w:r>
      <w:r w:rsidRPr="008A19E9">
        <w:rPr>
          <w:rFonts w:cs="Arial"/>
          <w:b/>
          <w:color w:val="00B0F0"/>
          <w:szCs w:val="24"/>
        </w:rPr>
        <w:t>Qu’est-ce qu’un accord collectif ?</w:t>
      </w:r>
    </w:p>
    <w:p w14:paraId="6E0CADD9" w14:textId="4E0F09B3" w:rsidR="00336746" w:rsidRDefault="00336746" w:rsidP="00336746">
      <w:pPr>
        <w:overflowPunct/>
        <w:autoSpaceDE/>
        <w:autoSpaceDN/>
        <w:adjustRightInd/>
        <w:jc w:val="both"/>
        <w:textAlignment w:val="auto"/>
        <w:rPr>
          <w:color w:val="000000"/>
          <w:highlight w:val="yellow"/>
        </w:rPr>
      </w:pPr>
      <w:r w:rsidRPr="008A19E9">
        <w:rPr>
          <w:rFonts w:cs="Arial"/>
          <w:i/>
          <w:color w:val="E36C0A" w:themeColor="accent6" w:themeShade="BF"/>
          <w:szCs w:val="24"/>
        </w:rPr>
        <w:t>Indicateur 6.1.5</w:t>
      </w:r>
      <w:r w:rsidRPr="00B7781B">
        <w:rPr>
          <w:color w:val="000000"/>
          <w:highlight w:val="yellow"/>
        </w:rPr>
        <w:t xml:space="preserve"> </w:t>
      </w:r>
    </w:p>
    <w:p w14:paraId="7776454E" w14:textId="77777777" w:rsidR="00336746" w:rsidRPr="00A507B0" w:rsidRDefault="00336746" w:rsidP="00336746">
      <w:pPr>
        <w:overflowPunct/>
        <w:autoSpaceDE/>
        <w:autoSpaceDN/>
        <w:adjustRightInd/>
        <w:jc w:val="both"/>
        <w:textAlignment w:val="auto"/>
        <w:rPr>
          <w:color w:val="000000"/>
          <w:highlight w:val="yellow"/>
        </w:rPr>
      </w:pPr>
      <w:r w:rsidRPr="002C7439">
        <w:rPr>
          <w:color w:val="000000"/>
        </w:rPr>
        <w:t>L’</w:t>
      </w:r>
      <w:r w:rsidRPr="000A48FE">
        <w:rPr>
          <w:color w:val="000000"/>
        </w:rPr>
        <w:t>autorité territoriale</w:t>
      </w:r>
      <w:r>
        <w:rPr>
          <w:color w:val="000000"/>
        </w:rPr>
        <w:t xml:space="preserve"> et les </w:t>
      </w:r>
      <w:r w:rsidRPr="000A48FE">
        <w:rPr>
          <w:color w:val="000000"/>
        </w:rPr>
        <w:t xml:space="preserve">organisations syndicales représentatives (disposant d’au moins 1 siège au </w:t>
      </w:r>
      <w:r>
        <w:rPr>
          <w:color w:val="000000"/>
        </w:rPr>
        <w:t>comité social territorial</w:t>
      </w:r>
      <w:r w:rsidRPr="000A48FE">
        <w:rPr>
          <w:color w:val="000000"/>
        </w:rPr>
        <w:t>)</w:t>
      </w:r>
      <w:r>
        <w:rPr>
          <w:color w:val="000000"/>
        </w:rPr>
        <w:t xml:space="preserve"> peuvent conclure des accords collectifs portant :</w:t>
      </w:r>
    </w:p>
    <w:p w14:paraId="0F4DBBB2" w14:textId="77777777" w:rsidR="00336746" w:rsidRPr="00494F26" w:rsidRDefault="00336746" w:rsidP="00336746">
      <w:pPr>
        <w:overflowPunct/>
        <w:autoSpaceDE/>
        <w:autoSpaceDN/>
        <w:adjustRightInd/>
        <w:jc w:val="both"/>
        <w:textAlignment w:val="auto"/>
        <w:rPr>
          <w:color w:val="000000"/>
        </w:rPr>
      </w:pPr>
      <w:r w:rsidRPr="00494F26">
        <w:rPr>
          <w:color w:val="000000"/>
        </w:rPr>
        <w:t>-</w:t>
      </w:r>
      <w:r w:rsidRPr="00494F26">
        <w:rPr>
          <w:color w:val="000000"/>
        </w:rPr>
        <w:tab/>
        <w:t xml:space="preserve">sur </w:t>
      </w:r>
      <w:r>
        <w:rPr>
          <w:color w:val="000000"/>
        </w:rPr>
        <w:t xml:space="preserve">un des 14 </w:t>
      </w:r>
      <w:r w:rsidRPr="00494F26">
        <w:rPr>
          <w:color w:val="000000"/>
        </w:rPr>
        <w:t>domaines précisés par la loi</w:t>
      </w:r>
      <w:r>
        <w:rPr>
          <w:color w:val="000000"/>
        </w:rPr>
        <w:t xml:space="preserve"> (article </w:t>
      </w:r>
      <w:r>
        <w:rPr>
          <w:color w:val="000000" w:themeColor="text1"/>
        </w:rPr>
        <w:t>L. 222-3 du CGFP) ;</w:t>
      </w:r>
    </w:p>
    <w:p w14:paraId="342666F8" w14:textId="77777777" w:rsidR="00336746" w:rsidRDefault="00336746" w:rsidP="00336746">
      <w:pPr>
        <w:overflowPunct/>
        <w:autoSpaceDE/>
        <w:autoSpaceDN/>
        <w:adjustRightInd/>
        <w:jc w:val="both"/>
        <w:textAlignment w:val="auto"/>
        <w:rPr>
          <w:color w:val="000000"/>
        </w:rPr>
      </w:pPr>
      <w:r w:rsidRPr="00494F26">
        <w:rPr>
          <w:color w:val="000000"/>
        </w:rPr>
        <w:t>-</w:t>
      </w:r>
      <w:r w:rsidRPr="00494F26">
        <w:rPr>
          <w:color w:val="000000"/>
        </w:rPr>
        <w:tab/>
      </w:r>
      <w:r>
        <w:rPr>
          <w:color w:val="000000"/>
        </w:rPr>
        <w:t>ou</w:t>
      </w:r>
      <w:r w:rsidRPr="00494F26">
        <w:rPr>
          <w:color w:val="000000"/>
        </w:rPr>
        <w:t xml:space="preserve"> d’autres domaines. Dans ce cas, les accords ne peuvent pas comporter de mesures réglementaires.</w:t>
      </w:r>
    </w:p>
    <w:p w14:paraId="404900A0" w14:textId="77777777" w:rsidR="00336746" w:rsidRPr="00494F26" w:rsidRDefault="00336746" w:rsidP="00336746">
      <w:pPr>
        <w:overflowPunct/>
        <w:autoSpaceDE/>
        <w:autoSpaceDN/>
        <w:adjustRightInd/>
        <w:jc w:val="both"/>
        <w:textAlignment w:val="auto"/>
        <w:rPr>
          <w:color w:val="000000"/>
        </w:rPr>
      </w:pPr>
    </w:p>
    <w:p w14:paraId="4BA9CD5F" w14:textId="77777777" w:rsidR="00336746" w:rsidRDefault="00336746" w:rsidP="00336746">
      <w:pPr>
        <w:overflowPunct/>
        <w:autoSpaceDE/>
        <w:autoSpaceDN/>
        <w:adjustRightInd/>
        <w:jc w:val="both"/>
        <w:textAlignment w:val="auto"/>
        <w:rPr>
          <w:color w:val="000000"/>
        </w:rPr>
      </w:pPr>
      <w:r w:rsidRPr="002C7439">
        <w:rPr>
          <w:color w:val="000000"/>
        </w:rPr>
        <w:t>L’ordonnance n° 2021-174 du 17 février 2021 et le décret n°2021-904 du 7 juillet 2021 précisent les modalités de négociation.</w:t>
      </w:r>
    </w:p>
    <w:p w14:paraId="4C3887C8" w14:textId="77777777" w:rsidR="00336746" w:rsidRPr="00494F26" w:rsidRDefault="00336746" w:rsidP="00336746">
      <w:pPr>
        <w:overflowPunct/>
        <w:autoSpaceDE/>
        <w:autoSpaceDN/>
        <w:adjustRightInd/>
        <w:jc w:val="both"/>
        <w:textAlignment w:val="auto"/>
        <w:rPr>
          <w:color w:val="000000"/>
        </w:rPr>
      </w:pPr>
      <w:r>
        <w:rPr>
          <w:color w:val="000000"/>
        </w:rPr>
        <w:t>Le n</w:t>
      </w:r>
      <w:r w:rsidRPr="008A19E9">
        <w:rPr>
          <w:color w:val="000000"/>
        </w:rPr>
        <w:t xml:space="preserve">ombre de négociations engagées au cours de l'année 2021 et </w:t>
      </w:r>
      <w:r>
        <w:rPr>
          <w:color w:val="000000"/>
        </w:rPr>
        <w:t xml:space="preserve">le </w:t>
      </w:r>
      <w:r w:rsidRPr="008A19E9">
        <w:rPr>
          <w:color w:val="000000"/>
        </w:rPr>
        <w:t>nombre d’accords collectifs conclus et signés</w:t>
      </w:r>
      <w:r>
        <w:rPr>
          <w:color w:val="000000"/>
        </w:rPr>
        <w:t xml:space="preserve"> sont à renseigner à l’indicateur </w:t>
      </w:r>
      <w:r w:rsidRPr="0047438F">
        <w:rPr>
          <w:rFonts w:cs="Arial"/>
          <w:i/>
          <w:color w:val="E36C0A" w:themeColor="accent6" w:themeShade="BF"/>
          <w:szCs w:val="24"/>
        </w:rPr>
        <w:t>6.1.5</w:t>
      </w:r>
      <w:r>
        <w:rPr>
          <w:color w:val="000000"/>
        </w:rPr>
        <w:t>.</w:t>
      </w:r>
    </w:p>
    <w:p w14:paraId="2FBDEE6E" w14:textId="77777777" w:rsidR="00336746" w:rsidRDefault="00336746" w:rsidP="00336746">
      <w:pPr>
        <w:overflowPunct/>
        <w:autoSpaceDE/>
        <w:autoSpaceDN/>
        <w:adjustRightInd/>
        <w:jc w:val="both"/>
        <w:textAlignment w:val="auto"/>
        <w:rPr>
          <w:color w:val="000000"/>
          <w:highlight w:val="yellow"/>
        </w:rPr>
      </w:pPr>
    </w:p>
    <w:p w14:paraId="2470C595" w14:textId="77777777" w:rsidR="00336746" w:rsidRDefault="00336746" w:rsidP="00336746">
      <w:pPr>
        <w:overflowPunct/>
        <w:autoSpaceDE/>
        <w:autoSpaceDN/>
        <w:adjustRightInd/>
        <w:jc w:val="both"/>
        <w:textAlignment w:val="auto"/>
        <w:rPr>
          <w:b/>
          <w:bCs/>
          <w:color w:val="FF0000"/>
        </w:rPr>
      </w:pPr>
      <w:r w:rsidRPr="00354FB2">
        <w:rPr>
          <w:b/>
          <w:bCs/>
          <w:color w:val="FF0000"/>
        </w:rPr>
        <w:lastRenderedPageBreak/>
        <w:t>Nouveauté RSU 2021 :</w:t>
      </w:r>
      <w:r>
        <w:rPr>
          <w:b/>
          <w:bCs/>
          <w:color w:val="FF0000"/>
        </w:rPr>
        <w:t xml:space="preserve"> </w:t>
      </w:r>
      <w:r w:rsidRPr="00883844">
        <w:rPr>
          <w:rFonts w:cs="Arial"/>
          <w:b/>
          <w:color w:val="00B0F0"/>
          <w:szCs w:val="24"/>
        </w:rPr>
        <w:t xml:space="preserve">Sur quel accord porte </w:t>
      </w:r>
      <w:r w:rsidRPr="00883844">
        <w:rPr>
          <w:rFonts w:cs="Arial"/>
          <w:i/>
          <w:color w:val="E36C0A" w:themeColor="accent6" w:themeShade="BF"/>
          <w:szCs w:val="24"/>
        </w:rPr>
        <w:t>l’indicateur 6.1.6</w:t>
      </w:r>
      <w:r w:rsidRPr="00883844">
        <w:rPr>
          <w:rFonts w:cs="Arial"/>
          <w:b/>
          <w:color w:val="00B0F0"/>
          <w:szCs w:val="24"/>
        </w:rPr>
        <w:t> ?</w:t>
      </w:r>
    </w:p>
    <w:p w14:paraId="1558B3E2" w14:textId="77777777" w:rsidR="00336746" w:rsidRPr="00432D3A" w:rsidRDefault="00336746" w:rsidP="00336746">
      <w:pPr>
        <w:jc w:val="both"/>
        <w:rPr>
          <w:color w:val="000000"/>
        </w:rPr>
      </w:pPr>
      <w:r w:rsidRPr="002C7439">
        <w:rPr>
          <w:color w:val="000000"/>
        </w:rPr>
        <w:t>L’</w:t>
      </w:r>
      <w:r w:rsidRPr="000A48FE">
        <w:rPr>
          <w:color w:val="000000"/>
        </w:rPr>
        <w:t>autorité territoriale</w:t>
      </w:r>
      <w:r>
        <w:rPr>
          <w:color w:val="000000"/>
        </w:rPr>
        <w:t xml:space="preserve"> et les </w:t>
      </w:r>
      <w:r w:rsidRPr="000A48FE">
        <w:rPr>
          <w:color w:val="000000"/>
        </w:rPr>
        <w:t xml:space="preserve">organisations syndicales représentatives </w:t>
      </w:r>
      <w:r>
        <w:rPr>
          <w:color w:val="000000"/>
        </w:rPr>
        <w:t>peuvent conclure un accord encadrant le droit de grève afin</w:t>
      </w:r>
      <w:r w:rsidRPr="00432D3A">
        <w:rPr>
          <w:color w:val="000000"/>
        </w:rPr>
        <w:t xml:space="preserve"> </w:t>
      </w:r>
      <w:r>
        <w:rPr>
          <w:color w:val="000000"/>
        </w:rPr>
        <w:t>d’</w:t>
      </w:r>
      <w:r w:rsidRPr="00432D3A">
        <w:rPr>
          <w:color w:val="000000"/>
        </w:rPr>
        <w:t>assurer la continuité des services publics visés</w:t>
      </w:r>
      <w:r>
        <w:rPr>
          <w:color w:val="000000"/>
        </w:rPr>
        <w:t>.</w:t>
      </w:r>
    </w:p>
    <w:p w14:paraId="06F994E9" w14:textId="77777777" w:rsidR="00336746" w:rsidRDefault="00336746" w:rsidP="00336746">
      <w:pPr>
        <w:overflowPunct/>
        <w:autoSpaceDE/>
        <w:autoSpaceDN/>
        <w:adjustRightInd/>
        <w:jc w:val="both"/>
        <w:textAlignment w:val="auto"/>
        <w:rPr>
          <w:color w:val="000000"/>
          <w:highlight w:val="yellow"/>
        </w:rPr>
      </w:pPr>
      <w:r w:rsidRPr="00955FBE">
        <w:rPr>
          <w:color w:val="000000"/>
        </w:rPr>
        <w:t xml:space="preserve">Cette possibilité a été introduite par </w:t>
      </w:r>
      <w:r>
        <w:rPr>
          <w:color w:val="000000"/>
        </w:rPr>
        <w:t>l</w:t>
      </w:r>
      <w:r w:rsidRPr="00432D3A">
        <w:rPr>
          <w:color w:val="000000"/>
        </w:rPr>
        <w:t xml:space="preserve">’article 56 de la loi du 6 août 2019 de transformation de la fonction publique </w:t>
      </w:r>
    </w:p>
    <w:p w14:paraId="2FD25DC7" w14:textId="77777777" w:rsidR="00336746" w:rsidRDefault="00336746" w:rsidP="00336746">
      <w:pPr>
        <w:overflowPunct/>
        <w:autoSpaceDE/>
        <w:autoSpaceDN/>
        <w:adjustRightInd/>
        <w:jc w:val="both"/>
        <w:textAlignment w:val="auto"/>
        <w:rPr>
          <w:color w:val="000000"/>
        </w:rPr>
      </w:pPr>
      <w:r w:rsidRPr="00277E1E">
        <w:rPr>
          <w:color w:val="000000"/>
        </w:rPr>
        <w:t xml:space="preserve">L’encadrement du droit de grève concerne des </w:t>
      </w:r>
      <w:r w:rsidRPr="00A507B0">
        <w:rPr>
          <w:color w:val="000000"/>
        </w:rPr>
        <w:t>services publics locaux</w:t>
      </w:r>
      <w:r w:rsidRPr="00277E1E">
        <w:rPr>
          <w:color w:val="000000"/>
        </w:rPr>
        <w:t xml:space="preserve"> listés par la loi </w:t>
      </w:r>
      <w:r>
        <w:rPr>
          <w:color w:val="000000"/>
        </w:rPr>
        <w:t>(a</w:t>
      </w:r>
      <w:r w:rsidRPr="00432D3A">
        <w:rPr>
          <w:color w:val="000000"/>
        </w:rPr>
        <w:t>rticle L114-7</w:t>
      </w:r>
      <w:r>
        <w:rPr>
          <w:color w:val="000000"/>
        </w:rPr>
        <w:t xml:space="preserve"> </w:t>
      </w:r>
      <w:bookmarkStart w:id="20" w:name="_Hlk102638543"/>
      <w:r>
        <w:rPr>
          <w:color w:val="000000"/>
        </w:rPr>
        <w:t>du CGFP</w:t>
      </w:r>
      <w:bookmarkEnd w:id="20"/>
      <w:r>
        <w:rPr>
          <w:color w:val="000000"/>
        </w:rPr>
        <w:t>) : c</w:t>
      </w:r>
      <w:r w:rsidRPr="00277E1E">
        <w:rPr>
          <w:color w:val="000000"/>
        </w:rPr>
        <w:t>ollecte et traitement des déchets des ménages</w:t>
      </w:r>
      <w:r>
        <w:rPr>
          <w:color w:val="000000"/>
        </w:rPr>
        <w:t>,</w:t>
      </w:r>
      <w:r w:rsidRPr="00277E1E">
        <w:rPr>
          <w:color w:val="000000"/>
        </w:rPr>
        <w:t xml:space="preserve"> </w:t>
      </w:r>
      <w:r>
        <w:rPr>
          <w:color w:val="000000"/>
        </w:rPr>
        <w:t>t</w:t>
      </w:r>
      <w:r w:rsidRPr="00277E1E">
        <w:rPr>
          <w:color w:val="000000"/>
        </w:rPr>
        <w:t>ransport public de personnes</w:t>
      </w:r>
      <w:r>
        <w:rPr>
          <w:color w:val="000000"/>
        </w:rPr>
        <w:t>,</w:t>
      </w:r>
      <w:r w:rsidRPr="00277E1E">
        <w:rPr>
          <w:color w:val="000000"/>
        </w:rPr>
        <w:t xml:space="preserve"> </w:t>
      </w:r>
      <w:r>
        <w:rPr>
          <w:color w:val="000000"/>
        </w:rPr>
        <w:t>a</w:t>
      </w:r>
      <w:r w:rsidRPr="00277E1E">
        <w:rPr>
          <w:color w:val="000000"/>
        </w:rPr>
        <w:t>ide aux personnes âgées et handicapées</w:t>
      </w:r>
      <w:r>
        <w:rPr>
          <w:color w:val="000000"/>
        </w:rPr>
        <w:t>, a</w:t>
      </w:r>
      <w:r w:rsidRPr="00277E1E">
        <w:rPr>
          <w:color w:val="000000"/>
        </w:rPr>
        <w:t>ccueil des enfants de moins de trois ans</w:t>
      </w:r>
      <w:r>
        <w:rPr>
          <w:color w:val="000000"/>
        </w:rPr>
        <w:t>, a</w:t>
      </w:r>
      <w:r w:rsidRPr="00277E1E">
        <w:rPr>
          <w:color w:val="000000"/>
        </w:rPr>
        <w:t>ccueil périscolaire</w:t>
      </w:r>
      <w:r>
        <w:rPr>
          <w:color w:val="000000"/>
        </w:rPr>
        <w:t>, r</w:t>
      </w:r>
      <w:r w:rsidRPr="00277E1E">
        <w:rPr>
          <w:color w:val="000000"/>
        </w:rPr>
        <w:t>estauration collective et scolaire.</w:t>
      </w:r>
    </w:p>
    <w:p w14:paraId="3464586F" w14:textId="77777777" w:rsidR="00336746" w:rsidRDefault="00336746" w:rsidP="00336746">
      <w:pPr>
        <w:overflowPunct/>
        <w:autoSpaceDE/>
        <w:autoSpaceDN/>
        <w:adjustRightInd/>
        <w:jc w:val="both"/>
        <w:textAlignment w:val="auto"/>
        <w:rPr>
          <w:color w:val="000000"/>
        </w:rPr>
      </w:pPr>
    </w:p>
    <w:p w14:paraId="08A17C8F" w14:textId="77777777" w:rsidR="00336746" w:rsidRDefault="00336746" w:rsidP="00336746">
      <w:pPr>
        <w:overflowPunct/>
        <w:autoSpaceDE/>
        <w:autoSpaceDN/>
        <w:adjustRightInd/>
        <w:jc w:val="both"/>
        <w:textAlignment w:val="auto"/>
        <w:rPr>
          <w:color w:val="000000"/>
        </w:rPr>
      </w:pPr>
      <w:r>
        <w:rPr>
          <w:color w:val="000000"/>
        </w:rPr>
        <w:t>L’a</w:t>
      </w:r>
      <w:r w:rsidRPr="00952D5B">
        <w:rPr>
          <w:color w:val="000000"/>
        </w:rPr>
        <w:t>rticle L114-8</w:t>
      </w:r>
      <w:r>
        <w:rPr>
          <w:color w:val="000000"/>
        </w:rPr>
        <w:t xml:space="preserve"> du CGFP</w:t>
      </w:r>
      <w:r w:rsidRPr="00952D5B">
        <w:rPr>
          <w:color w:val="000000"/>
        </w:rPr>
        <w:t xml:space="preserve"> </w:t>
      </w:r>
      <w:r w:rsidRPr="00A507B0">
        <w:rPr>
          <w:color w:val="000000"/>
        </w:rPr>
        <w:t>prévoit deux hypothèses. Soit un accord entre l’autorité territoriale et les syndicats est trouvé ; l’organe délibérant doit alors approuver l’accord. Soit, à l’issue d’un délai maximum de douze mois, aucun accord n’est trouvé, et il revient à l’assemblée délibérante de déterminer l’encadrement de l’exercice du droit de grève. </w:t>
      </w:r>
    </w:p>
    <w:p w14:paraId="610227CE" w14:textId="77777777" w:rsidR="00336746" w:rsidRDefault="00336746" w:rsidP="00336746">
      <w:pPr>
        <w:overflowPunct/>
        <w:autoSpaceDE/>
        <w:autoSpaceDN/>
        <w:adjustRightInd/>
        <w:jc w:val="both"/>
        <w:textAlignment w:val="auto"/>
        <w:rPr>
          <w:b/>
          <w:bCs/>
          <w:color w:val="FF0000"/>
        </w:rPr>
      </w:pPr>
    </w:p>
    <w:p w14:paraId="36343272" w14:textId="2A1E21C4" w:rsidR="00336746" w:rsidRDefault="00336746" w:rsidP="00336746">
      <w:pPr>
        <w:overflowPunct/>
        <w:autoSpaceDE/>
        <w:autoSpaceDN/>
        <w:adjustRightInd/>
        <w:jc w:val="both"/>
        <w:textAlignment w:val="auto"/>
        <w:rPr>
          <w:b/>
          <w:bCs/>
          <w:color w:val="FF0000"/>
        </w:rPr>
      </w:pPr>
      <w:r w:rsidRPr="00354FB2">
        <w:rPr>
          <w:b/>
          <w:bCs/>
          <w:color w:val="FF0000"/>
        </w:rPr>
        <w:t>Nouveauté RSU 2021 :</w:t>
      </w:r>
      <w:r>
        <w:rPr>
          <w:b/>
          <w:bCs/>
          <w:color w:val="FF0000"/>
        </w:rPr>
        <w:t xml:space="preserve"> </w:t>
      </w:r>
      <w:r w:rsidRPr="00883844">
        <w:rPr>
          <w:rFonts w:cs="Arial"/>
          <w:b/>
          <w:color w:val="00B0F0"/>
          <w:szCs w:val="24"/>
        </w:rPr>
        <w:t xml:space="preserve">Sur quel accord porte </w:t>
      </w:r>
      <w:bookmarkStart w:id="21" w:name="_Hlk102639671"/>
      <w:r w:rsidRPr="00883844">
        <w:rPr>
          <w:rFonts w:cs="Arial"/>
          <w:i/>
          <w:color w:val="E36C0A" w:themeColor="accent6" w:themeShade="BF"/>
          <w:szCs w:val="24"/>
        </w:rPr>
        <w:t xml:space="preserve">l’indicateur </w:t>
      </w:r>
      <w:r>
        <w:rPr>
          <w:rFonts w:cs="Arial"/>
          <w:i/>
          <w:color w:val="E36C0A" w:themeColor="accent6" w:themeShade="BF"/>
          <w:szCs w:val="24"/>
        </w:rPr>
        <w:t>7</w:t>
      </w:r>
      <w:r w:rsidRPr="00883844">
        <w:rPr>
          <w:rFonts w:cs="Arial"/>
          <w:i/>
          <w:color w:val="E36C0A" w:themeColor="accent6" w:themeShade="BF"/>
          <w:szCs w:val="24"/>
        </w:rPr>
        <w:t>.</w:t>
      </w:r>
      <w:r>
        <w:rPr>
          <w:rFonts w:cs="Arial"/>
          <w:i/>
          <w:color w:val="E36C0A" w:themeColor="accent6" w:themeShade="BF"/>
          <w:szCs w:val="24"/>
        </w:rPr>
        <w:t>2</w:t>
      </w:r>
      <w:r w:rsidRPr="00883844">
        <w:rPr>
          <w:rFonts w:cs="Arial"/>
          <w:i/>
          <w:color w:val="E36C0A" w:themeColor="accent6" w:themeShade="BF"/>
          <w:szCs w:val="24"/>
        </w:rPr>
        <w:t>.</w:t>
      </w:r>
      <w:r>
        <w:rPr>
          <w:rFonts w:cs="Arial"/>
          <w:i/>
          <w:color w:val="E36C0A" w:themeColor="accent6" w:themeShade="BF"/>
          <w:szCs w:val="24"/>
        </w:rPr>
        <w:t xml:space="preserve">0 </w:t>
      </w:r>
      <w:bookmarkEnd w:id="21"/>
      <w:r w:rsidRPr="00883844">
        <w:rPr>
          <w:rFonts w:cs="Arial"/>
          <w:b/>
          <w:color w:val="00B0F0"/>
          <w:szCs w:val="24"/>
        </w:rPr>
        <w:t>?</w:t>
      </w:r>
    </w:p>
    <w:p w14:paraId="0B80179C" w14:textId="77777777" w:rsidR="00336746" w:rsidRDefault="00336746" w:rsidP="00336746">
      <w:pPr>
        <w:overflowPunct/>
        <w:autoSpaceDE/>
        <w:autoSpaceDN/>
        <w:adjustRightInd/>
        <w:jc w:val="both"/>
        <w:textAlignment w:val="auto"/>
        <w:rPr>
          <w:color w:val="000000"/>
          <w:highlight w:val="yellow"/>
        </w:rPr>
      </w:pPr>
      <w:r>
        <w:rPr>
          <w:color w:val="000000"/>
        </w:rPr>
        <w:t xml:space="preserve">La protection sociale complémentaire fait partie des 14 </w:t>
      </w:r>
      <w:r w:rsidRPr="00494F26">
        <w:rPr>
          <w:color w:val="000000"/>
        </w:rPr>
        <w:t>domaines précisés par la loi</w:t>
      </w:r>
      <w:r>
        <w:rPr>
          <w:color w:val="000000"/>
        </w:rPr>
        <w:t xml:space="preserve"> (article </w:t>
      </w:r>
      <w:r>
        <w:rPr>
          <w:color w:val="000000" w:themeColor="text1"/>
        </w:rPr>
        <w:t>L. 222-3 du CGFP) pouvant faire l’objet d’un accord collectif.</w:t>
      </w:r>
    </w:p>
    <w:p w14:paraId="4C166721" w14:textId="77777777" w:rsidR="00336746" w:rsidRPr="00CA692C" w:rsidRDefault="00336746" w:rsidP="00336746">
      <w:pPr>
        <w:overflowPunct/>
        <w:autoSpaceDE/>
        <w:autoSpaceDN/>
        <w:adjustRightInd/>
        <w:jc w:val="both"/>
        <w:textAlignment w:val="auto"/>
        <w:rPr>
          <w:color w:val="000000"/>
        </w:rPr>
      </w:pPr>
      <w:r w:rsidRPr="009631C7">
        <w:rPr>
          <w:rFonts w:cs="Arial"/>
          <w:iCs/>
          <w:szCs w:val="24"/>
        </w:rPr>
        <w:t>L’indicateur</w:t>
      </w:r>
      <w:r w:rsidRPr="00CA692C">
        <w:rPr>
          <w:rFonts w:cs="Arial"/>
          <w:i/>
          <w:szCs w:val="24"/>
        </w:rPr>
        <w:t xml:space="preserve"> </w:t>
      </w:r>
      <w:r w:rsidRPr="00CA692C">
        <w:rPr>
          <w:rFonts w:cs="Arial"/>
          <w:i/>
          <w:color w:val="E36C0A" w:themeColor="accent6" w:themeShade="BF"/>
          <w:szCs w:val="24"/>
        </w:rPr>
        <w:t>7.2.0</w:t>
      </w:r>
      <w:r w:rsidRPr="00CA692C">
        <w:rPr>
          <w:rFonts w:cs="Arial"/>
          <w:i/>
          <w:szCs w:val="24"/>
        </w:rPr>
        <w:t xml:space="preserve"> </w:t>
      </w:r>
      <w:r w:rsidRPr="009631C7">
        <w:rPr>
          <w:rFonts w:cs="Arial"/>
          <w:iCs/>
          <w:szCs w:val="24"/>
        </w:rPr>
        <w:t xml:space="preserve">porte sur l’existence </w:t>
      </w:r>
      <w:r w:rsidRPr="009631C7">
        <w:rPr>
          <w:iCs/>
          <w:color w:val="000000"/>
        </w:rPr>
        <w:t>d'un accord collectif sur la protection sociale complémentaire.</w:t>
      </w:r>
      <w:r w:rsidRPr="00CA692C">
        <w:rPr>
          <w:color w:val="000000"/>
        </w:rPr>
        <w:t xml:space="preserve"> </w:t>
      </w:r>
    </w:p>
    <w:p w14:paraId="127F4451" w14:textId="2ABDEE3E" w:rsidR="00336746" w:rsidRDefault="00336746" w:rsidP="00336746">
      <w:pPr>
        <w:overflowPunct/>
        <w:autoSpaceDE/>
        <w:autoSpaceDN/>
        <w:adjustRightInd/>
        <w:textAlignment w:val="auto"/>
        <w:rPr>
          <w:color w:val="000000"/>
        </w:rPr>
      </w:pPr>
    </w:p>
    <w:p w14:paraId="53698349" w14:textId="11DE5B4B" w:rsidR="00336746" w:rsidRDefault="00336746" w:rsidP="00336746">
      <w:pPr>
        <w:overflowPunct/>
        <w:autoSpaceDE/>
        <w:autoSpaceDN/>
        <w:adjustRightInd/>
        <w:textAlignment w:val="auto"/>
        <w:rPr>
          <w:color w:val="000000"/>
        </w:rPr>
      </w:pPr>
    </w:p>
    <w:p w14:paraId="1A610292" w14:textId="16AC68F8" w:rsidR="00336746" w:rsidRDefault="00336746" w:rsidP="00336746">
      <w:pPr>
        <w:overflowPunct/>
        <w:autoSpaceDE/>
        <w:autoSpaceDN/>
        <w:adjustRightInd/>
        <w:textAlignment w:val="auto"/>
        <w:rPr>
          <w:color w:val="000000"/>
        </w:rPr>
      </w:pPr>
    </w:p>
    <w:p w14:paraId="6F43A1F8" w14:textId="10A9A9EC" w:rsidR="00336746" w:rsidRDefault="00336746" w:rsidP="00336746">
      <w:pPr>
        <w:overflowPunct/>
        <w:autoSpaceDE/>
        <w:autoSpaceDN/>
        <w:adjustRightInd/>
        <w:textAlignment w:val="auto"/>
        <w:rPr>
          <w:color w:val="000000"/>
        </w:rPr>
      </w:pPr>
    </w:p>
    <w:p w14:paraId="57E87BE7" w14:textId="0CE63D77" w:rsidR="00336746" w:rsidRDefault="00336746" w:rsidP="00336746">
      <w:pPr>
        <w:overflowPunct/>
        <w:autoSpaceDE/>
        <w:autoSpaceDN/>
        <w:adjustRightInd/>
        <w:textAlignment w:val="auto"/>
        <w:rPr>
          <w:color w:val="000000"/>
        </w:rPr>
      </w:pPr>
    </w:p>
    <w:p w14:paraId="77D0AAF6" w14:textId="1B3B8A11" w:rsidR="00336746" w:rsidRDefault="00336746" w:rsidP="00336746">
      <w:pPr>
        <w:overflowPunct/>
        <w:autoSpaceDE/>
        <w:autoSpaceDN/>
        <w:adjustRightInd/>
        <w:textAlignment w:val="auto"/>
        <w:rPr>
          <w:color w:val="000000"/>
        </w:rPr>
      </w:pPr>
    </w:p>
    <w:p w14:paraId="562C7AD4" w14:textId="0370E9E4" w:rsidR="00336746" w:rsidRDefault="00336746" w:rsidP="00336746">
      <w:pPr>
        <w:overflowPunct/>
        <w:autoSpaceDE/>
        <w:autoSpaceDN/>
        <w:adjustRightInd/>
        <w:textAlignment w:val="auto"/>
        <w:rPr>
          <w:color w:val="000000"/>
        </w:rPr>
      </w:pPr>
    </w:p>
    <w:p w14:paraId="1DC97F43" w14:textId="5623DFFE" w:rsidR="00336746" w:rsidRDefault="00336746" w:rsidP="00336746">
      <w:pPr>
        <w:overflowPunct/>
        <w:autoSpaceDE/>
        <w:autoSpaceDN/>
        <w:adjustRightInd/>
        <w:textAlignment w:val="auto"/>
        <w:rPr>
          <w:color w:val="000000"/>
        </w:rPr>
      </w:pPr>
    </w:p>
    <w:p w14:paraId="3954E505" w14:textId="08E2D12E" w:rsidR="00336746" w:rsidRDefault="00336746" w:rsidP="00336746">
      <w:pPr>
        <w:overflowPunct/>
        <w:autoSpaceDE/>
        <w:autoSpaceDN/>
        <w:adjustRightInd/>
        <w:textAlignment w:val="auto"/>
        <w:rPr>
          <w:color w:val="000000"/>
        </w:rPr>
      </w:pPr>
    </w:p>
    <w:p w14:paraId="007F7575" w14:textId="34C9AF45" w:rsidR="00336746" w:rsidRDefault="00336746" w:rsidP="00336746">
      <w:pPr>
        <w:overflowPunct/>
        <w:autoSpaceDE/>
        <w:autoSpaceDN/>
        <w:adjustRightInd/>
        <w:textAlignment w:val="auto"/>
        <w:rPr>
          <w:color w:val="000000"/>
        </w:rPr>
      </w:pPr>
    </w:p>
    <w:p w14:paraId="3855B286" w14:textId="4AAE9675" w:rsidR="00336746" w:rsidRDefault="00336746" w:rsidP="00336746">
      <w:pPr>
        <w:overflowPunct/>
        <w:autoSpaceDE/>
        <w:autoSpaceDN/>
        <w:adjustRightInd/>
        <w:textAlignment w:val="auto"/>
        <w:rPr>
          <w:color w:val="000000"/>
        </w:rPr>
      </w:pPr>
    </w:p>
    <w:p w14:paraId="26CEEB82" w14:textId="6B2DAE5E" w:rsidR="00336746" w:rsidRDefault="00336746" w:rsidP="00336746">
      <w:pPr>
        <w:overflowPunct/>
        <w:autoSpaceDE/>
        <w:autoSpaceDN/>
        <w:adjustRightInd/>
        <w:textAlignment w:val="auto"/>
        <w:rPr>
          <w:color w:val="000000"/>
        </w:rPr>
      </w:pPr>
    </w:p>
    <w:p w14:paraId="52874BAD" w14:textId="2B6F0BAF" w:rsidR="00336746" w:rsidRDefault="00336746" w:rsidP="00336746">
      <w:pPr>
        <w:overflowPunct/>
        <w:autoSpaceDE/>
        <w:autoSpaceDN/>
        <w:adjustRightInd/>
        <w:textAlignment w:val="auto"/>
        <w:rPr>
          <w:color w:val="000000"/>
        </w:rPr>
      </w:pPr>
    </w:p>
    <w:p w14:paraId="5E1FF843" w14:textId="0B840B51" w:rsidR="00336746" w:rsidRDefault="00336746" w:rsidP="00336746">
      <w:pPr>
        <w:overflowPunct/>
        <w:autoSpaceDE/>
        <w:autoSpaceDN/>
        <w:adjustRightInd/>
        <w:textAlignment w:val="auto"/>
        <w:rPr>
          <w:color w:val="000000"/>
        </w:rPr>
      </w:pPr>
    </w:p>
    <w:p w14:paraId="63B2E842" w14:textId="618510E7" w:rsidR="00336746" w:rsidRDefault="00336746" w:rsidP="00336746">
      <w:pPr>
        <w:overflowPunct/>
        <w:autoSpaceDE/>
        <w:autoSpaceDN/>
        <w:adjustRightInd/>
        <w:textAlignment w:val="auto"/>
        <w:rPr>
          <w:color w:val="000000"/>
        </w:rPr>
      </w:pPr>
    </w:p>
    <w:p w14:paraId="48E66175" w14:textId="4935A2CA" w:rsidR="00336746" w:rsidRDefault="00336746" w:rsidP="00336746">
      <w:pPr>
        <w:overflowPunct/>
        <w:autoSpaceDE/>
        <w:autoSpaceDN/>
        <w:adjustRightInd/>
        <w:textAlignment w:val="auto"/>
        <w:rPr>
          <w:color w:val="000000"/>
        </w:rPr>
      </w:pPr>
    </w:p>
    <w:p w14:paraId="29B2FEB1" w14:textId="52E1A7F0" w:rsidR="00336746" w:rsidRDefault="00336746" w:rsidP="00336746">
      <w:pPr>
        <w:overflowPunct/>
        <w:autoSpaceDE/>
        <w:autoSpaceDN/>
        <w:adjustRightInd/>
        <w:textAlignment w:val="auto"/>
        <w:rPr>
          <w:color w:val="000000"/>
        </w:rPr>
      </w:pPr>
    </w:p>
    <w:p w14:paraId="35F481A6" w14:textId="001E8085" w:rsidR="00336746" w:rsidRDefault="00336746" w:rsidP="00336746">
      <w:pPr>
        <w:overflowPunct/>
        <w:autoSpaceDE/>
        <w:autoSpaceDN/>
        <w:adjustRightInd/>
        <w:textAlignment w:val="auto"/>
        <w:rPr>
          <w:color w:val="000000"/>
        </w:rPr>
      </w:pPr>
    </w:p>
    <w:p w14:paraId="2D351F2C" w14:textId="69F99EF2" w:rsidR="00336746" w:rsidRDefault="00336746" w:rsidP="00336746">
      <w:pPr>
        <w:overflowPunct/>
        <w:autoSpaceDE/>
        <w:autoSpaceDN/>
        <w:adjustRightInd/>
        <w:textAlignment w:val="auto"/>
        <w:rPr>
          <w:color w:val="000000"/>
        </w:rPr>
      </w:pPr>
    </w:p>
    <w:p w14:paraId="2853887A" w14:textId="77777777" w:rsidR="00336746" w:rsidRDefault="00336746" w:rsidP="00336746">
      <w:pPr>
        <w:overflowPunct/>
        <w:autoSpaceDE/>
        <w:autoSpaceDN/>
        <w:adjustRightInd/>
        <w:textAlignment w:val="auto"/>
        <w:rPr>
          <w:color w:val="000000"/>
        </w:rPr>
      </w:pPr>
    </w:p>
    <w:p w14:paraId="02664BCC" w14:textId="77777777" w:rsidR="00792EFA" w:rsidRDefault="00792EFA">
      <w:pPr>
        <w:overflowPunct/>
        <w:autoSpaceDE/>
        <w:autoSpaceDN/>
        <w:adjustRightInd/>
        <w:textAlignment w:val="auto"/>
        <w:rPr>
          <w:rFonts w:eastAsiaTheme="majorEastAsia" w:cstheme="majorBidi"/>
          <w:b/>
          <w:bCs/>
          <w:color w:val="00B050"/>
          <w:sz w:val="32"/>
          <w:szCs w:val="28"/>
          <w:u w:val="single"/>
        </w:rPr>
      </w:pPr>
      <w:bookmarkStart w:id="22" w:name="_Toc104276131"/>
      <w:r>
        <w:br w:type="page"/>
      </w:r>
    </w:p>
    <w:p w14:paraId="43EC0062" w14:textId="61CCA1C1" w:rsidR="00336746" w:rsidRDefault="00336746" w:rsidP="00336746">
      <w:pPr>
        <w:pStyle w:val="Titre1"/>
      </w:pPr>
      <w:r>
        <w:lastRenderedPageBreak/>
        <w:t>A</w:t>
      </w:r>
      <w:r w:rsidRPr="00CC3727">
        <w:t>ction sociale et protection sociale</w:t>
      </w:r>
      <w:bookmarkEnd w:id="22"/>
    </w:p>
    <w:p w14:paraId="4FD794FB" w14:textId="77777777" w:rsidR="00336746" w:rsidRDefault="00336746" w:rsidP="00336746">
      <w:pPr>
        <w:overflowPunct/>
        <w:autoSpaceDE/>
        <w:autoSpaceDN/>
        <w:adjustRightInd/>
        <w:textAlignment w:val="auto"/>
        <w:rPr>
          <w:color w:val="000000"/>
        </w:rPr>
      </w:pPr>
    </w:p>
    <w:p w14:paraId="1C7B31CF" w14:textId="4FF2256A" w:rsidR="00336746" w:rsidRPr="00300EB0" w:rsidRDefault="00336746" w:rsidP="00336746">
      <w:pPr>
        <w:jc w:val="both"/>
        <w:rPr>
          <w:rFonts w:cs="Arial"/>
          <w:b/>
          <w:color w:val="00B0F0"/>
          <w:szCs w:val="24"/>
        </w:rPr>
      </w:pPr>
      <w:r w:rsidRPr="004E1C19">
        <w:rPr>
          <w:rFonts w:cs="Arial"/>
          <w:b/>
          <w:color w:val="00B0F0"/>
          <w:szCs w:val="24"/>
        </w:rPr>
        <w:t xml:space="preserve">Ma collectivité verse une subvention au Comité des œuvres sociales, qui permet aux agents d’avoir accès aux chèques vacances. Dois-je renseigner le montant à </w:t>
      </w:r>
      <w:r w:rsidRPr="00300EB0">
        <w:rPr>
          <w:rFonts w:cs="Arial"/>
          <w:b/>
          <w:color w:val="00B0F0"/>
          <w:szCs w:val="24"/>
        </w:rPr>
        <w:t>l’indicateur</w:t>
      </w:r>
      <w:r>
        <w:rPr>
          <w:rFonts w:cs="Arial"/>
          <w:b/>
          <w:color w:val="00B0F0"/>
          <w:szCs w:val="24"/>
        </w:rPr>
        <w:t xml:space="preserve"> 7.1.6 </w:t>
      </w:r>
      <w:r w:rsidRPr="00300EB0">
        <w:rPr>
          <w:rFonts w:cs="Arial"/>
          <w:b/>
          <w:color w:val="00B0F0"/>
          <w:szCs w:val="24"/>
        </w:rPr>
        <w:t>?</w:t>
      </w:r>
    </w:p>
    <w:p w14:paraId="3D3296C2" w14:textId="6B51E337" w:rsidR="00336746" w:rsidRPr="00300EB0" w:rsidRDefault="00336746" w:rsidP="00336746">
      <w:pPr>
        <w:jc w:val="both"/>
        <w:rPr>
          <w:rFonts w:cs="Arial"/>
          <w:i/>
          <w:color w:val="E36C0A" w:themeColor="accent6" w:themeShade="BF"/>
          <w:szCs w:val="24"/>
        </w:rPr>
      </w:pPr>
      <w:r>
        <w:rPr>
          <w:rFonts w:cs="Arial"/>
          <w:i/>
          <w:color w:val="E36C0A" w:themeColor="accent6" w:themeShade="BF"/>
          <w:szCs w:val="24"/>
        </w:rPr>
        <w:t xml:space="preserve">Indicateur </w:t>
      </w:r>
      <w:bookmarkStart w:id="23" w:name="_Hlk101364919"/>
      <w:r>
        <w:rPr>
          <w:rFonts w:cs="Arial"/>
          <w:i/>
          <w:color w:val="E36C0A" w:themeColor="accent6" w:themeShade="BF"/>
          <w:szCs w:val="24"/>
        </w:rPr>
        <w:t xml:space="preserve">7.1.6 </w:t>
      </w:r>
      <w:bookmarkEnd w:id="23"/>
      <w:r>
        <w:rPr>
          <w:rFonts w:cs="Arial"/>
          <w:i/>
          <w:color w:val="E36C0A" w:themeColor="accent6" w:themeShade="BF"/>
          <w:szCs w:val="24"/>
        </w:rPr>
        <w:t xml:space="preserve">: </w:t>
      </w:r>
      <w:r w:rsidRPr="006232AB">
        <w:rPr>
          <w:rFonts w:cs="Arial"/>
          <w:i/>
          <w:color w:val="E36C0A" w:themeColor="accent6" w:themeShade="BF"/>
          <w:szCs w:val="24"/>
        </w:rPr>
        <w:t xml:space="preserve">« Prestations servies directement </w:t>
      </w:r>
      <w:r>
        <w:rPr>
          <w:rFonts w:cs="Arial"/>
          <w:i/>
          <w:color w:val="E36C0A" w:themeColor="accent6" w:themeShade="BF"/>
          <w:szCs w:val="24"/>
        </w:rPr>
        <w:t xml:space="preserve">ou via un Comité d’œuvres Sociales </w:t>
      </w:r>
      <w:r w:rsidRPr="006232AB">
        <w:rPr>
          <w:rFonts w:cs="Arial"/>
          <w:i/>
          <w:color w:val="E36C0A" w:themeColor="accent6" w:themeShade="BF"/>
          <w:szCs w:val="24"/>
        </w:rPr>
        <w:t>par la collectivité</w:t>
      </w:r>
      <w:r>
        <w:rPr>
          <w:rFonts w:cs="Arial"/>
          <w:i/>
          <w:color w:val="E36C0A" w:themeColor="accent6" w:themeShade="BF"/>
          <w:szCs w:val="24"/>
        </w:rPr>
        <w:t xml:space="preserve"> territoriale</w:t>
      </w:r>
      <w:r w:rsidRPr="006232AB">
        <w:rPr>
          <w:rFonts w:cs="Arial"/>
          <w:i/>
          <w:color w:val="E36C0A" w:themeColor="accent6" w:themeShade="BF"/>
          <w:szCs w:val="24"/>
        </w:rPr>
        <w:t xml:space="preserve"> »</w:t>
      </w:r>
    </w:p>
    <w:p w14:paraId="58CE7208" w14:textId="77777777" w:rsidR="00336746" w:rsidRDefault="00336746" w:rsidP="00336746">
      <w:pPr>
        <w:jc w:val="both"/>
        <w:rPr>
          <w:color w:val="000000"/>
        </w:rPr>
      </w:pPr>
      <w:r>
        <w:rPr>
          <w:color w:val="000000"/>
        </w:rPr>
        <w:t>Oui, le montant est à renseigner à la ligne « prestations servies via un Comité d’œuvres sociales ».</w:t>
      </w:r>
    </w:p>
    <w:p w14:paraId="02F989C8" w14:textId="77777777" w:rsidR="00336746" w:rsidRPr="00FD0FB7" w:rsidRDefault="00336746" w:rsidP="00336746">
      <w:pPr>
        <w:jc w:val="both"/>
        <w:rPr>
          <w:color w:val="000000"/>
        </w:rPr>
      </w:pPr>
    </w:p>
    <w:p w14:paraId="3A276E36" w14:textId="77777777" w:rsidR="00336746" w:rsidRDefault="00336746" w:rsidP="00336746">
      <w:pPr>
        <w:jc w:val="both"/>
        <w:rPr>
          <w:rFonts w:cs="Arial"/>
          <w:b/>
          <w:color w:val="00B0F0"/>
          <w:szCs w:val="24"/>
        </w:rPr>
      </w:pPr>
      <w:r w:rsidRPr="004E1C19">
        <w:rPr>
          <w:rFonts w:cs="Arial"/>
          <w:b/>
          <w:color w:val="00B0F0"/>
          <w:szCs w:val="24"/>
        </w:rPr>
        <w:t xml:space="preserve">Dans ma collectivité, nous finançons en partie les </w:t>
      </w:r>
      <w:r w:rsidRPr="00300EB0">
        <w:rPr>
          <w:rFonts w:cs="Arial"/>
          <w:b/>
          <w:color w:val="00B0F0"/>
          <w:szCs w:val="24"/>
        </w:rPr>
        <w:t>chèques emploi service universel</w:t>
      </w:r>
      <w:r w:rsidRPr="004E1C19">
        <w:rPr>
          <w:rFonts w:cs="Arial"/>
          <w:b/>
          <w:color w:val="00B0F0"/>
          <w:szCs w:val="24"/>
        </w:rPr>
        <w:t xml:space="preserve"> </w:t>
      </w:r>
      <w:r>
        <w:rPr>
          <w:rFonts w:cs="Arial"/>
          <w:b/>
          <w:color w:val="00B0F0"/>
          <w:szCs w:val="24"/>
        </w:rPr>
        <w:t>(</w:t>
      </w:r>
      <w:r w:rsidRPr="004E1C19">
        <w:rPr>
          <w:rFonts w:cs="Arial"/>
          <w:b/>
          <w:color w:val="00B0F0"/>
          <w:szCs w:val="24"/>
        </w:rPr>
        <w:t>CESU</w:t>
      </w:r>
      <w:r>
        <w:rPr>
          <w:rFonts w:cs="Arial"/>
          <w:b/>
          <w:color w:val="00B0F0"/>
          <w:szCs w:val="24"/>
        </w:rPr>
        <w:t>)</w:t>
      </w:r>
      <w:r w:rsidRPr="004E1C19">
        <w:rPr>
          <w:rFonts w:cs="Arial"/>
          <w:b/>
          <w:color w:val="00B0F0"/>
          <w:szCs w:val="24"/>
        </w:rPr>
        <w:t xml:space="preserve"> pour nos agents. Puis-je le faire figurer à </w:t>
      </w:r>
      <w:r w:rsidRPr="00300EB0">
        <w:rPr>
          <w:rFonts w:cs="Arial"/>
          <w:b/>
          <w:color w:val="00B0F0"/>
          <w:szCs w:val="24"/>
        </w:rPr>
        <w:t>l’indicateur « prestations servies directement par la collectivité</w:t>
      </w:r>
      <w:r>
        <w:rPr>
          <w:rFonts w:cs="Arial"/>
          <w:b/>
          <w:color w:val="00B0F0"/>
          <w:szCs w:val="24"/>
        </w:rPr>
        <w:t xml:space="preserve"> </w:t>
      </w:r>
      <w:r w:rsidRPr="00300EB0">
        <w:rPr>
          <w:rFonts w:cs="Arial"/>
          <w:b/>
          <w:color w:val="00B0F0"/>
          <w:szCs w:val="24"/>
        </w:rPr>
        <w:t>»</w:t>
      </w:r>
      <w:r w:rsidRPr="00F13356">
        <w:rPr>
          <w:rFonts w:cs="Arial"/>
          <w:b/>
          <w:color w:val="00B0F0"/>
          <w:szCs w:val="24"/>
        </w:rPr>
        <w:t xml:space="preserve"> ?</w:t>
      </w:r>
    </w:p>
    <w:p w14:paraId="15BBDC13" w14:textId="17923657" w:rsidR="00336746" w:rsidRPr="00300EB0" w:rsidRDefault="00336746" w:rsidP="00336746">
      <w:pPr>
        <w:jc w:val="both"/>
        <w:rPr>
          <w:rFonts w:cs="Arial"/>
          <w:i/>
          <w:color w:val="E36C0A" w:themeColor="accent6" w:themeShade="BF"/>
          <w:szCs w:val="24"/>
        </w:rPr>
      </w:pPr>
      <w:r w:rsidRPr="00300EB0">
        <w:rPr>
          <w:rFonts w:cs="Arial"/>
          <w:i/>
          <w:color w:val="E36C0A" w:themeColor="accent6" w:themeShade="BF"/>
          <w:szCs w:val="24"/>
        </w:rPr>
        <w:t xml:space="preserve">Indicateur </w:t>
      </w:r>
      <w:bookmarkStart w:id="24" w:name="_Hlk101364938"/>
      <w:r>
        <w:rPr>
          <w:rFonts w:cs="Arial"/>
          <w:i/>
          <w:color w:val="E36C0A" w:themeColor="accent6" w:themeShade="BF"/>
          <w:szCs w:val="24"/>
        </w:rPr>
        <w:t xml:space="preserve">7.1.6 </w:t>
      </w:r>
      <w:bookmarkEnd w:id="24"/>
      <w:r>
        <w:rPr>
          <w:rFonts w:cs="Arial"/>
          <w:i/>
          <w:color w:val="E36C0A" w:themeColor="accent6" w:themeShade="BF"/>
          <w:szCs w:val="24"/>
        </w:rPr>
        <w:t xml:space="preserve">: </w:t>
      </w:r>
      <w:r w:rsidRPr="006232AB">
        <w:rPr>
          <w:rFonts w:cs="Arial"/>
          <w:i/>
          <w:color w:val="E36C0A" w:themeColor="accent6" w:themeShade="BF"/>
          <w:szCs w:val="24"/>
        </w:rPr>
        <w:t xml:space="preserve">« Prestations servies directement </w:t>
      </w:r>
      <w:r>
        <w:rPr>
          <w:rFonts w:cs="Arial"/>
          <w:i/>
          <w:color w:val="E36C0A" w:themeColor="accent6" w:themeShade="BF"/>
          <w:szCs w:val="24"/>
        </w:rPr>
        <w:t xml:space="preserve">ou via un Comité d’œuvres Sociales </w:t>
      </w:r>
      <w:r w:rsidRPr="006232AB">
        <w:rPr>
          <w:rFonts w:cs="Arial"/>
          <w:i/>
          <w:color w:val="E36C0A" w:themeColor="accent6" w:themeShade="BF"/>
          <w:szCs w:val="24"/>
        </w:rPr>
        <w:t>par la collectivité</w:t>
      </w:r>
      <w:r>
        <w:rPr>
          <w:rFonts w:cs="Arial"/>
          <w:i/>
          <w:color w:val="E36C0A" w:themeColor="accent6" w:themeShade="BF"/>
          <w:szCs w:val="24"/>
        </w:rPr>
        <w:t xml:space="preserve"> territoriale</w:t>
      </w:r>
      <w:r w:rsidRPr="006232AB">
        <w:rPr>
          <w:rFonts w:cs="Arial"/>
          <w:i/>
          <w:color w:val="E36C0A" w:themeColor="accent6" w:themeShade="BF"/>
          <w:szCs w:val="24"/>
        </w:rPr>
        <w:t xml:space="preserve"> »</w:t>
      </w:r>
    </w:p>
    <w:p w14:paraId="62F66FD6" w14:textId="77777777" w:rsidR="00336746" w:rsidRPr="00300EB0" w:rsidRDefault="00336746" w:rsidP="00336746">
      <w:pPr>
        <w:jc w:val="both"/>
        <w:rPr>
          <w:color w:val="000000"/>
        </w:rPr>
      </w:pPr>
      <w:r>
        <w:rPr>
          <w:color w:val="000000"/>
        </w:rPr>
        <w:t>Oui, le montant est à renseigner.</w:t>
      </w:r>
    </w:p>
    <w:p w14:paraId="232D41A8" w14:textId="77777777" w:rsidR="00336746" w:rsidRPr="00FD0FB7" w:rsidRDefault="00336746" w:rsidP="00336746">
      <w:pPr>
        <w:jc w:val="both"/>
        <w:rPr>
          <w:color w:val="000000"/>
        </w:rPr>
      </w:pPr>
      <w:r w:rsidRPr="00FD0FB7">
        <w:rPr>
          <w:color w:val="000000"/>
        </w:rPr>
        <w:t>Tout dépend de la faço</w:t>
      </w:r>
      <w:r>
        <w:rPr>
          <w:color w:val="000000"/>
        </w:rPr>
        <w:t>n dont est versé ce financement :</w:t>
      </w:r>
    </w:p>
    <w:p w14:paraId="1A3C8680" w14:textId="5F3B717C" w:rsidR="00336746" w:rsidRPr="003C2FCA" w:rsidRDefault="00336746" w:rsidP="00336746">
      <w:pPr>
        <w:pStyle w:val="Paragraphedeliste"/>
        <w:numPr>
          <w:ilvl w:val="0"/>
          <w:numId w:val="23"/>
        </w:numPr>
        <w:jc w:val="both"/>
      </w:pPr>
      <w:r w:rsidRPr="003C2FCA">
        <w:t xml:space="preserve">S’il est différencié en fonction de la situation de l’agent, il est considéré comme de </w:t>
      </w:r>
      <w:r>
        <w:t>l’action</w:t>
      </w:r>
      <w:r w:rsidRPr="003C2FCA">
        <w:t xml:space="preserve"> sociale et peut figurer à </w:t>
      </w:r>
      <w:r>
        <w:rPr>
          <w:rFonts w:cs="Arial"/>
          <w:i/>
          <w:color w:val="E36C0A" w:themeColor="accent6" w:themeShade="BF"/>
          <w:szCs w:val="24"/>
        </w:rPr>
        <w:t xml:space="preserve">l’indicateur 7.1.6 </w:t>
      </w:r>
      <w:r w:rsidRPr="003C2FCA">
        <w:t>« Prestations servies directement par la collectivité par nature de la prestation ».</w:t>
      </w:r>
    </w:p>
    <w:p w14:paraId="1F00A662" w14:textId="77777777" w:rsidR="00336746" w:rsidRPr="000945D2" w:rsidRDefault="00336746" w:rsidP="00336746">
      <w:pPr>
        <w:pStyle w:val="Paragraphedeliste"/>
        <w:numPr>
          <w:ilvl w:val="0"/>
          <w:numId w:val="23"/>
        </w:numPr>
        <w:jc w:val="both"/>
        <w:rPr>
          <w:color w:val="000000"/>
        </w:rPr>
      </w:pPr>
      <w:r w:rsidRPr="003C2FCA">
        <w:t>Si le financement est le même pour tous les agents, il s’agit d’un complément de rém</w:t>
      </w:r>
      <w:r>
        <w:t>unération qui</w:t>
      </w:r>
      <w:r w:rsidRPr="003C2FCA">
        <w:t xml:space="preserve"> </w:t>
      </w:r>
      <w:r w:rsidRPr="000945D2">
        <w:rPr>
          <w:color w:val="000000"/>
        </w:rPr>
        <w:t xml:space="preserve">sera intégré à </w:t>
      </w:r>
      <w:r w:rsidRPr="000945D2">
        <w:rPr>
          <w:rFonts w:cs="Arial"/>
          <w:i/>
          <w:color w:val="E36C0A" w:themeColor="accent6" w:themeShade="BF"/>
          <w:szCs w:val="24"/>
        </w:rPr>
        <w:t>l’indicateur 3.1.1</w:t>
      </w:r>
      <w:r>
        <w:rPr>
          <w:rFonts w:cs="Arial"/>
          <w:i/>
          <w:color w:val="E36C0A" w:themeColor="accent6" w:themeShade="BF"/>
          <w:szCs w:val="24"/>
        </w:rPr>
        <w:t xml:space="preserve"> </w:t>
      </w:r>
      <w:r w:rsidRPr="00300EB0">
        <w:rPr>
          <w:rFonts w:cs="Arial"/>
          <w:i/>
          <w:szCs w:val="24"/>
        </w:rPr>
        <w:t>« Rémunérations brutes des fonctionn</w:t>
      </w:r>
      <w:r>
        <w:rPr>
          <w:rFonts w:cs="Arial"/>
          <w:i/>
          <w:szCs w:val="24"/>
        </w:rPr>
        <w:t>a</w:t>
      </w:r>
      <w:r w:rsidRPr="00300EB0">
        <w:rPr>
          <w:rFonts w:cs="Arial"/>
          <w:i/>
          <w:szCs w:val="24"/>
        </w:rPr>
        <w:t>ires et des contractuels occupant un emploi permanent</w:t>
      </w:r>
      <w:r>
        <w:rPr>
          <w:rFonts w:cs="Arial"/>
          <w:i/>
          <w:szCs w:val="24"/>
        </w:rPr>
        <w:t> »</w:t>
      </w:r>
      <w:r w:rsidRPr="00300EB0">
        <w:t>.</w:t>
      </w:r>
    </w:p>
    <w:p w14:paraId="76FBB4D2" w14:textId="77777777" w:rsidR="00336746" w:rsidRPr="00F43662" w:rsidRDefault="00336746" w:rsidP="00336746">
      <w:pPr>
        <w:pStyle w:val="Paragraphedeliste"/>
        <w:numPr>
          <w:ilvl w:val="0"/>
          <w:numId w:val="23"/>
        </w:numPr>
        <w:jc w:val="both"/>
        <w:rPr>
          <w:color w:val="000000"/>
        </w:rPr>
      </w:pPr>
      <w:r w:rsidRPr="000945D2">
        <w:rPr>
          <w:color w:val="000000"/>
        </w:rPr>
        <w:t>La même règle s’applique aussi aux prestations type « ticket restaurant ».</w:t>
      </w:r>
    </w:p>
    <w:p w14:paraId="3154D779" w14:textId="77777777" w:rsidR="00336746" w:rsidRPr="003C2FCA" w:rsidRDefault="00336746" w:rsidP="00336746">
      <w:pPr>
        <w:jc w:val="both"/>
      </w:pPr>
    </w:p>
    <w:p w14:paraId="1EDB081D" w14:textId="77777777" w:rsidR="00336746" w:rsidRPr="00300EB0" w:rsidRDefault="00336746" w:rsidP="00336746">
      <w:pPr>
        <w:jc w:val="both"/>
        <w:rPr>
          <w:rFonts w:cs="Arial"/>
          <w:b/>
          <w:color w:val="00B0F0"/>
          <w:szCs w:val="24"/>
        </w:rPr>
      </w:pPr>
      <w:r w:rsidRPr="004E1C19">
        <w:rPr>
          <w:rFonts w:cs="Arial"/>
          <w:b/>
          <w:color w:val="00B0F0"/>
          <w:szCs w:val="24"/>
        </w:rPr>
        <w:t>Qu’est-ce que la protection sociale complémentaire ?</w:t>
      </w:r>
    </w:p>
    <w:p w14:paraId="53D2FB21" w14:textId="5991A130" w:rsidR="00336746" w:rsidRDefault="00336746" w:rsidP="00336746">
      <w:pPr>
        <w:spacing w:after="120"/>
        <w:jc w:val="both"/>
        <w:rPr>
          <w:rFonts w:cs="Arial"/>
          <w:i/>
          <w:color w:val="E36C0A" w:themeColor="accent6" w:themeShade="BF"/>
          <w:szCs w:val="24"/>
        </w:rPr>
      </w:pPr>
      <w:r w:rsidRPr="006500DC">
        <w:rPr>
          <w:rFonts w:cs="Arial"/>
          <w:i/>
          <w:color w:val="E36C0A" w:themeColor="accent6" w:themeShade="BF"/>
          <w:szCs w:val="24"/>
        </w:rPr>
        <w:t>7.2.1</w:t>
      </w:r>
      <w:r>
        <w:rPr>
          <w:rFonts w:cs="Arial"/>
          <w:i/>
          <w:color w:val="E36C0A" w:themeColor="accent6" w:themeShade="BF"/>
          <w:szCs w:val="24"/>
        </w:rPr>
        <w:t>–</w:t>
      </w:r>
      <w:r w:rsidRPr="00757AF6">
        <w:rPr>
          <w:rFonts w:cs="Arial"/>
          <w:i/>
          <w:color w:val="E36C0A" w:themeColor="accent6" w:themeShade="BF"/>
          <w:szCs w:val="24"/>
        </w:rPr>
        <w:t xml:space="preserve"> </w:t>
      </w:r>
      <w:r>
        <w:rPr>
          <w:rFonts w:cs="Arial"/>
          <w:i/>
          <w:color w:val="E36C0A" w:themeColor="accent6" w:themeShade="BF"/>
          <w:szCs w:val="24"/>
        </w:rPr>
        <w:t>« </w:t>
      </w:r>
      <w:r w:rsidRPr="00757AF6">
        <w:rPr>
          <w:rFonts w:cs="Arial"/>
          <w:i/>
          <w:color w:val="E36C0A" w:themeColor="accent6" w:themeShade="BF"/>
          <w:szCs w:val="24"/>
        </w:rPr>
        <w:t>Protection sociale complémentaire</w:t>
      </w:r>
      <w:r>
        <w:rPr>
          <w:rFonts w:cs="Arial"/>
          <w:i/>
          <w:color w:val="E36C0A" w:themeColor="accent6" w:themeShade="BF"/>
          <w:szCs w:val="24"/>
        </w:rPr>
        <w:t> »</w:t>
      </w:r>
    </w:p>
    <w:p w14:paraId="5FF8FC79" w14:textId="77777777" w:rsidR="00336746" w:rsidRPr="00FD0FB7" w:rsidRDefault="00336746" w:rsidP="00336746">
      <w:pPr>
        <w:spacing w:after="120"/>
        <w:jc w:val="both"/>
        <w:rPr>
          <w:color w:val="000000"/>
        </w:rPr>
      </w:pPr>
      <w:r w:rsidRPr="00FD0FB7">
        <w:rPr>
          <w:color w:val="000000"/>
        </w:rPr>
        <w:t xml:space="preserve">Une collectivité peut choisir de participer financièrement aux garanties de protection sociale complémentaire souscrites par </w:t>
      </w:r>
      <w:r>
        <w:rPr>
          <w:color w:val="000000"/>
        </w:rPr>
        <w:t>ses</w:t>
      </w:r>
      <w:r w:rsidRPr="00FD0FB7">
        <w:rPr>
          <w:color w:val="000000"/>
        </w:rPr>
        <w:t xml:space="preserve"> agents. Il existe 2 catégories de risques auxquels les collectivités peuvent participer :</w:t>
      </w:r>
    </w:p>
    <w:p w14:paraId="6DFAA5D7" w14:textId="77777777" w:rsidR="00336746" w:rsidRDefault="00336746" w:rsidP="00336746">
      <w:pPr>
        <w:pStyle w:val="Paragraphedeliste"/>
        <w:numPr>
          <w:ilvl w:val="0"/>
          <w:numId w:val="23"/>
        </w:numPr>
        <w:spacing w:after="120"/>
        <w:jc w:val="both"/>
        <w:rPr>
          <w:color w:val="000000"/>
        </w:rPr>
      </w:pPr>
      <w:r w:rsidRPr="00300EB0">
        <w:rPr>
          <w:color w:val="000000"/>
        </w:rPr>
        <w:t>Le risque Santé : soins liés à une atteinte à l’intégrité physique de la personne ou liés à la maternité. Ce risque est garanti par la souscription à une complémentaire santé auprès d’une mutuelle notamment</w:t>
      </w:r>
      <w:r>
        <w:rPr>
          <w:color w:val="000000"/>
        </w:rPr>
        <w:t> ;</w:t>
      </w:r>
    </w:p>
    <w:p w14:paraId="43B91AEC" w14:textId="77777777" w:rsidR="00336746" w:rsidRPr="00300EB0" w:rsidRDefault="00336746" w:rsidP="00336746">
      <w:pPr>
        <w:pStyle w:val="Paragraphedeliste"/>
        <w:numPr>
          <w:ilvl w:val="0"/>
          <w:numId w:val="23"/>
        </w:numPr>
        <w:spacing w:after="120"/>
        <w:jc w:val="both"/>
        <w:rPr>
          <w:color w:val="000000"/>
        </w:rPr>
      </w:pPr>
      <w:r w:rsidRPr="00300EB0">
        <w:rPr>
          <w:color w:val="000000"/>
        </w:rPr>
        <w:t>Le risque Prévoyance : perte de salaire liée à l’incapacité de travail et à l’invalidité. Ce risque est garanti par la souscription de contrats de type "maintien de salaire".</w:t>
      </w:r>
    </w:p>
    <w:p w14:paraId="2F4AA647" w14:textId="77777777" w:rsidR="00336746" w:rsidRPr="00FD0FB7" w:rsidRDefault="00336746" w:rsidP="00336746">
      <w:pPr>
        <w:spacing w:after="120"/>
        <w:jc w:val="both"/>
        <w:rPr>
          <w:color w:val="000000"/>
        </w:rPr>
      </w:pPr>
      <w:r w:rsidRPr="00FD0FB7">
        <w:rPr>
          <w:color w:val="000000"/>
        </w:rPr>
        <w:t>La participation ne pouvant être versée qu’aux seuls contrats garantissant la solidarité intergénérationnelle, l’employeur peut choisir soit de faire vérifier cette condition par d’autres organismes (on parle de "labellisation")</w:t>
      </w:r>
      <w:r>
        <w:rPr>
          <w:color w:val="000000"/>
        </w:rPr>
        <w:t>,</w:t>
      </w:r>
      <w:r w:rsidRPr="00FD0FB7">
        <w:rPr>
          <w:color w:val="000000"/>
        </w:rPr>
        <w:t xml:space="preserve"> soit de vérifier par lui-même cette condition (on parle de convention de participation).</w:t>
      </w:r>
    </w:p>
    <w:p w14:paraId="5DD9C3C3" w14:textId="77777777" w:rsidR="00336746" w:rsidRDefault="00336746" w:rsidP="00336746">
      <w:pPr>
        <w:pStyle w:val="Paragraphedeliste"/>
        <w:numPr>
          <w:ilvl w:val="0"/>
          <w:numId w:val="24"/>
        </w:numPr>
        <w:spacing w:after="120"/>
        <w:jc w:val="both"/>
        <w:rPr>
          <w:color w:val="000000"/>
        </w:rPr>
      </w:pPr>
      <w:r w:rsidRPr="00300EB0">
        <w:rPr>
          <w:color w:val="000000"/>
        </w:rPr>
        <w:t>La labellisation : l’employeur participe pour tous les contrats et règlements qui ont reçu un label attestant du respect de la condition de solidarité intergénérationnelle</w:t>
      </w:r>
      <w:r>
        <w:rPr>
          <w:color w:val="000000"/>
        </w:rPr>
        <w:t> ;</w:t>
      </w:r>
    </w:p>
    <w:p w14:paraId="0638051B" w14:textId="77777777" w:rsidR="00336746" w:rsidRPr="00300EB0" w:rsidRDefault="00336746" w:rsidP="00336746">
      <w:pPr>
        <w:pStyle w:val="Paragraphedeliste"/>
        <w:numPr>
          <w:ilvl w:val="0"/>
          <w:numId w:val="24"/>
        </w:numPr>
        <w:spacing w:after="120"/>
        <w:jc w:val="both"/>
        <w:rPr>
          <w:color w:val="000000"/>
        </w:rPr>
      </w:pPr>
      <w:r w:rsidRPr="00300EB0">
        <w:rPr>
          <w:color w:val="000000"/>
        </w:rPr>
        <w:t xml:space="preserve">La convention de participation : L’employeur propose un seul contrat pour lequel la condition de solidarité intergénérationnelle a été vérifiée directement par la collectivité au terme d’une procédure similaire à un marché public. L'agent souhaitant bénéficier de la participation de son employeur ne pourra donc adhérer qu'à ce seul contrat. </w:t>
      </w:r>
    </w:p>
    <w:p w14:paraId="2E289A8D" w14:textId="77777777" w:rsidR="00336746" w:rsidRPr="00CC3727" w:rsidRDefault="00336746" w:rsidP="00336746">
      <w:pPr>
        <w:overflowPunct/>
        <w:autoSpaceDE/>
        <w:autoSpaceDN/>
        <w:adjustRightInd/>
        <w:textAlignment w:val="auto"/>
        <w:rPr>
          <w:rFonts w:cstheme="minorHAnsi"/>
        </w:rPr>
      </w:pPr>
    </w:p>
    <w:p w14:paraId="09201FD3" w14:textId="3071A3D1" w:rsidR="00336746" w:rsidRDefault="00336746" w:rsidP="00BD228F">
      <w:pPr>
        <w:jc w:val="center"/>
      </w:pPr>
    </w:p>
    <w:p w14:paraId="12A64B51" w14:textId="79CD94DE" w:rsidR="00336746" w:rsidRDefault="00336746" w:rsidP="00BD228F">
      <w:pPr>
        <w:jc w:val="center"/>
      </w:pPr>
    </w:p>
    <w:p w14:paraId="444042E1" w14:textId="77777777" w:rsidR="00E5593B" w:rsidRDefault="00E5593B" w:rsidP="00E5593B">
      <w:pPr>
        <w:pStyle w:val="Titre1"/>
      </w:pPr>
      <w:bookmarkStart w:id="25" w:name="_Toc104276132"/>
      <w:r>
        <w:lastRenderedPageBreak/>
        <w:t>Discipline</w:t>
      </w:r>
      <w:bookmarkEnd w:id="25"/>
    </w:p>
    <w:p w14:paraId="7052794B" w14:textId="77777777" w:rsidR="00E5593B" w:rsidRPr="00FD0FB7" w:rsidRDefault="00E5593B" w:rsidP="00E5593B">
      <w:pPr>
        <w:spacing w:after="120"/>
        <w:jc w:val="both"/>
        <w:rPr>
          <w:color w:val="000000"/>
        </w:rPr>
      </w:pPr>
    </w:p>
    <w:p w14:paraId="27041DFF" w14:textId="77777777" w:rsidR="00E5593B" w:rsidRDefault="00E5593B" w:rsidP="00E5593B">
      <w:pPr>
        <w:jc w:val="both"/>
        <w:rPr>
          <w:rFonts w:cs="Arial"/>
          <w:b/>
          <w:color w:val="00B0F0"/>
          <w:szCs w:val="24"/>
        </w:rPr>
      </w:pPr>
      <w:r w:rsidRPr="004E1C19">
        <w:rPr>
          <w:rFonts w:cs="Arial"/>
          <w:b/>
          <w:color w:val="00B0F0"/>
          <w:szCs w:val="24"/>
        </w:rPr>
        <w:t>Quels sont les groupes de sanctions disciplinaires ?</w:t>
      </w:r>
    </w:p>
    <w:p w14:paraId="63FF7AE7" w14:textId="77777777" w:rsidR="00E5593B" w:rsidRDefault="00E5593B" w:rsidP="00E5593B">
      <w:pPr>
        <w:jc w:val="both"/>
        <w:rPr>
          <w:rFonts w:cs="Arial"/>
          <w:i/>
          <w:color w:val="E36C0A" w:themeColor="accent6" w:themeShade="BF"/>
          <w:szCs w:val="24"/>
        </w:rPr>
      </w:pPr>
      <w:r w:rsidRPr="00C2268D">
        <w:rPr>
          <w:rFonts w:cs="Arial"/>
          <w:i/>
          <w:color w:val="E36C0A" w:themeColor="accent6" w:themeShade="BF"/>
          <w:szCs w:val="24"/>
        </w:rPr>
        <w:t xml:space="preserve">Indicateur </w:t>
      </w:r>
      <w:r w:rsidRPr="00B82D6B">
        <w:rPr>
          <w:rFonts w:cs="Arial"/>
          <w:i/>
          <w:color w:val="E36C0A" w:themeColor="accent6" w:themeShade="BF"/>
          <w:szCs w:val="24"/>
        </w:rPr>
        <w:t>8.1.1</w:t>
      </w:r>
      <w:r>
        <w:rPr>
          <w:rFonts w:cs="Arial"/>
          <w:i/>
          <w:color w:val="E36C0A" w:themeColor="accent6" w:themeShade="BF"/>
          <w:szCs w:val="24"/>
        </w:rPr>
        <w:t xml:space="preserve"> </w:t>
      </w:r>
      <w:r w:rsidRPr="00C2268D">
        <w:rPr>
          <w:rFonts w:cs="Arial"/>
          <w:i/>
          <w:color w:val="E36C0A" w:themeColor="accent6" w:themeShade="BF"/>
          <w:szCs w:val="24"/>
        </w:rPr>
        <w:t>– « Nombre de sanctions disciplinaires prononcées dans l'année »</w:t>
      </w:r>
    </w:p>
    <w:p w14:paraId="5B1AE3C1" w14:textId="77777777" w:rsidR="00E5593B" w:rsidRPr="00C333E4" w:rsidRDefault="00E5593B" w:rsidP="00E5593B">
      <w:pPr>
        <w:jc w:val="both"/>
        <w:rPr>
          <w:rFonts w:cstheme="minorHAnsi"/>
          <w:b/>
          <w:color w:val="000000"/>
        </w:rPr>
      </w:pPr>
    </w:p>
    <w:tbl>
      <w:tblPr>
        <w:tblW w:w="5000" w:type="pct"/>
        <w:tblCellMar>
          <w:left w:w="0" w:type="dxa"/>
          <w:right w:w="0" w:type="dxa"/>
        </w:tblCellMar>
        <w:tblLook w:val="04A0" w:firstRow="1" w:lastRow="0" w:firstColumn="1" w:lastColumn="0" w:noHBand="0" w:noVBand="1"/>
      </w:tblPr>
      <w:tblGrid>
        <w:gridCol w:w="4082"/>
        <w:gridCol w:w="1916"/>
        <w:gridCol w:w="1916"/>
        <w:gridCol w:w="1704"/>
      </w:tblGrid>
      <w:tr w:rsidR="00E5593B" w:rsidRPr="00F43662" w14:paraId="66A972BF" w14:textId="77777777" w:rsidTr="001B1BEE">
        <w:trPr>
          <w:trHeight w:val="324"/>
        </w:trPr>
        <w:tc>
          <w:tcPr>
            <w:tcW w:w="2496" w:type="pct"/>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vAlign w:val="center"/>
            <w:hideMark/>
          </w:tcPr>
          <w:p w14:paraId="31A05C46" w14:textId="77777777" w:rsidR="00E5593B" w:rsidRPr="00F43662" w:rsidRDefault="00E5593B" w:rsidP="001B1BEE">
            <w:pPr>
              <w:jc w:val="both"/>
              <w:rPr>
                <w:rFonts w:cstheme="minorHAnsi"/>
              </w:rPr>
            </w:pPr>
            <w:r w:rsidRPr="00F43662">
              <w:rPr>
                <w:rFonts w:cstheme="minorHAnsi"/>
              </w:rPr>
              <w:t xml:space="preserve">Liste des sanctions susceptibles d’être appliquées dans la FPT </w:t>
            </w:r>
          </w:p>
        </w:tc>
        <w:tc>
          <w:tcPr>
            <w:tcW w:w="2504" w:type="pct"/>
            <w:gridSpan w:val="3"/>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7000B840" w14:textId="77777777" w:rsidR="00E5593B" w:rsidRPr="00F43662" w:rsidRDefault="00E5593B" w:rsidP="001B1BEE">
            <w:pPr>
              <w:jc w:val="both"/>
              <w:rPr>
                <w:rFonts w:cstheme="minorHAnsi"/>
              </w:rPr>
            </w:pPr>
            <w:r w:rsidRPr="00F43662">
              <w:rPr>
                <w:rFonts w:cstheme="minorHAnsi"/>
                <w:b/>
                <w:bCs/>
              </w:rPr>
              <w:t>STATUT DE L’AGENT</w:t>
            </w:r>
            <w:r w:rsidRPr="00F43662">
              <w:rPr>
                <w:rFonts w:cstheme="minorHAnsi"/>
              </w:rPr>
              <w:t xml:space="preserve"> </w:t>
            </w:r>
          </w:p>
        </w:tc>
      </w:tr>
      <w:tr w:rsidR="00E5593B" w:rsidRPr="00F43662" w14:paraId="031DAAA7" w14:textId="77777777" w:rsidTr="001B1BEE">
        <w:trPr>
          <w:trHeight w:val="742"/>
        </w:trPr>
        <w:tc>
          <w:tcPr>
            <w:tcW w:w="2496" w:type="pct"/>
            <w:vMerge/>
            <w:tcBorders>
              <w:top w:val="single" w:sz="8" w:space="0" w:color="000000"/>
              <w:left w:val="single" w:sz="8" w:space="0" w:color="000000"/>
              <w:bottom w:val="single" w:sz="8" w:space="0" w:color="000000"/>
              <w:right w:val="single" w:sz="8" w:space="0" w:color="000000"/>
            </w:tcBorders>
            <w:vAlign w:val="center"/>
            <w:hideMark/>
          </w:tcPr>
          <w:p w14:paraId="0DA40133" w14:textId="77777777" w:rsidR="00E5593B" w:rsidRPr="00F43662" w:rsidRDefault="00E5593B" w:rsidP="001B1BEE">
            <w:pPr>
              <w:jc w:val="both"/>
              <w:rPr>
                <w:rFonts w:cstheme="minorHAnsi"/>
              </w:rPr>
            </w:pP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67CEC602" w14:textId="77777777" w:rsidR="00E5593B" w:rsidRPr="00F43662" w:rsidRDefault="00E5593B" w:rsidP="001B1BEE">
            <w:pPr>
              <w:jc w:val="both"/>
              <w:rPr>
                <w:rFonts w:cstheme="minorHAnsi"/>
              </w:rPr>
            </w:pPr>
            <w:r w:rsidRPr="00F43662">
              <w:rPr>
                <w:rFonts w:cstheme="minorHAnsi"/>
                <w:b/>
                <w:bCs/>
              </w:rPr>
              <w:t>FONCTIONNAIRES TITULAIRES</w:t>
            </w:r>
            <w:r w:rsidRPr="00F43662">
              <w:rPr>
                <w:rFonts w:cstheme="minorHAnsi"/>
              </w:rPr>
              <w:t xml:space="preserve"> </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028F3BAF" w14:textId="77777777" w:rsidR="00E5593B" w:rsidRPr="00F43662" w:rsidRDefault="00E5593B" w:rsidP="001B1BEE">
            <w:pPr>
              <w:jc w:val="both"/>
              <w:rPr>
                <w:rFonts w:cstheme="minorHAnsi"/>
              </w:rPr>
            </w:pPr>
            <w:r w:rsidRPr="00F43662">
              <w:rPr>
                <w:rFonts w:cstheme="minorHAnsi"/>
                <w:b/>
                <w:bCs/>
              </w:rPr>
              <w:t>FONCTIONNAIRES STAGIAIRES</w:t>
            </w:r>
            <w:r w:rsidRPr="00F43662">
              <w:rPr>
                <w:rFonts w:cstheme="minorHAnsi"/>
              </w:rPr>
              <w:t xml:space="preserve"> </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4BF14CD7" w14:textId="77777777" w:rsidR="00E5593B" w:rsidRPr="00F43662" w:rsidRDefault="00E5593B" w:rsidP="001B1BEE">
            <w:pPr>
              <w:jc w:val="both"/>
              <w:rPr>
                <w:rFonts w:cstheme="minorHAnsi"/>
              </w:rPr>
            </w:pPr>
            <w:r w:rsidRPr="00F43662">
              <w:rPr>
                <w:rFonts w:cstheme="minorHAnsi"/>
                <w:b/>
                <w:bCs/>
              </w:rPr>
              <w:t>CONTRACTUELS</w:t>
            </w:r>
            <w:r w:rsidRPr="00F43662">
              <w:rPr>
                <w:rFonts w:cstheme="minorHAnsi"/>
              </w:rPr>
              <w:t xml:space="preserve"> </w:t>
            </w:r>
          </w:p>
        </w:tc>
      </w:tr>
      <w:tr w:rsidR="00E5593B" w:rsidRPr="00F43662" w14:paraId="77CF78F3"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24288B48" w14:textId="77777777" w:rsidR="00E5593B" w:rsidRPr="00F43662" w:rsidRDefault="00E5593B" w:rsidP="001B1BEE">
            <w:pPr>
              <w:jc w:val="both"/>
              <w:rPr>
                <w:rFonts w:cstheme="minorHAnsi"/>
              </w:rPr>
            </w:pPr>
            <w:r w:rsidRPr="00F43662">
              <w:rPr>
                <w:rFonts w:cstheme="minorHAnsi"/>
                <w:b/>
                <w:bCs/>
              </w:rPr>
              <w:t>Avertissement</w:t>
            </w:r>
            <w:r w:rsidRPr="00F43662">
              <w:rPr>
                <w:rFonts w:cstheme="minorHAnsi"/>
              </w:rPr>
              <w:t xml:space="preserve">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42740EFE" w14:textId="77777777" w:rsidR="00E5593B" w:rsidRPr="00F43662" w:rsidRDefault="00E5593B" w:rsidP="001B1BEE">
            <w:pPr>
              <w:jc w:val="both"/>
              <w:rPr>
                <w:rFonts w:cstheme="minorHAnsi"/>
              </w:rPr>
            </w:pPr>
            <w:proofErr w:type="gramStart"/>
            <w:r w:rsidRPr="00F43662">
              <w:rPr>
                <w:rFonts w:cstheme="minorHAnsi"/>
                <w:b/>
                <w:bCs/>
              </w:rPr>
              <w:t xml:space="preserve">OUI  </w:t>
            </w:r>
            <w:r w:rsidRPr="00F43662">
              <w:rPr>
                <w:rFonts w:cstheme="minorHAnsi"/>
              </w:rPr>
              <w:t>-</w:t>
            </w:r>
            <w:proofErr w:type="gramEnd"/>
            <w:r w:rsidRPr="00F43662">
              <w:rPr>
                <w:rFonts w:cstheme="minorHAnsi"/>
              </w:rPr>
              <w:t xml:space="preserve">  1</w:t>
            </w:r>
            <w:r w:rsidRPr="00F43662">
              <w:rPr>
                <w:rFonts w:cstheme="minorHAnsi"/>
                <w:vertAlign w:val="superscript"/>
              </w:rPr>
              <w:t>er</w:t>
            </w:r>
            <w:r w:rsidRPr="00F43662">
              <w:rPr>
                <w:rFonts w:cstheme="minorHAnsi"/>
              </w:rPr>
              <w:t xml:space="preserve"> groupe </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796FFBD7"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581D5194"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r>
      <w:tr w:rsidR="00E5593B" w:rsidRPr="00F43662" w14:paraId="13D84EF8"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6D5FE87A" w14:textId="77777777" w:rsidR="00E5593B" w:rsidRPr="00F43662" w:rsidRDefault="00E5593B" w:rsidP="001B1BEE">
            <w:pPr>
              <w:jc w:val="both"/>
              <w:rPr>
                <w:rFonts w:cstheme="minorHAnsi"/>
              </w:rPr>
            </w:pPr>
            <w:r w:rsidRPr="00F43662">
              <w:rPr>
                <w:rFonts w:cstheme="minorHAnsi"/>
                <w:b/>
                <w:bCs/>
              </w:rPr>
              <w:t>Blâme</w:t>
            </w:r>
            <w:r w:rsidRPr="00F43662">
              <w:rPr>
                <w:rFonts w:cstheme="minorHAnsi"/>
              </w:rPr>
              <w:t xml:space="preserve">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1366873C" w14:textId="77777777" w:rsidR="00E5593B" w:rsidRPr="00F43662" w:rsidRDefault="00E5593B" w:rsidP="001B1BEE">
            <w:pPr>
              <w:jc w:val="both"/>
              <w:rPr>
                <w:rFonts w:cstheme="minorHAnsi"/>
              </w:rPr>
            </w:pPr>
            <w:proofErr w:type="gramStart"/>
            <w:r w:rsidRPr="00F43662">
              <w:rPr>
                <w:rFonts w:cstheme="minorHAnsi"/>
                <w:b/>
                <w:bCs/>
              </w:rPr>
              <w:t xml:space="preserve">OUI  </w:t>
            </w:r>
            <w:r w:rsidRPr="00F43662">
              <w:rPr>
                <w:rFonts w:cstheme="minorHAnsi"/>
              </w:rPr>
              <w:t>-</w:t>
            </w:r>
            <w:proofErr w:type="gramEnd"/>
            <w:r w:rsidRPr="00F43662">
              <w:rPr>
                <w:rFonts w:cstheme="minorHAnsi"/>
              </w:rPr>
              <w:t xml:space="preserve">  1</w:t>
            </w:r>
            <w:r w:rsidRPr="00F43662">
              <w:rPr>
                <w:rFonts w:cstheme="minorHAnsi"/>
                <w:vertAlign w:val="superscript"/>
              </w:rPr>
              <w:t>er</w:t>
            </w:r>
            <w:r w:rsidRPr="00F43662">
              <w:rPr>
                <w:rFonts w:cstheme="minorHAnsi"/>
              </w:rPr>
              <w:t xml:space="preserve"> groupe </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5F5EC676"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51F08983"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r>
      <w:tr w:rsidR="00E5593B" w:rsidRPr="00F43662" w14:paraId="106980BC"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6C5A348B" w14:textId="77777777" w:rsidR="00E5593B" w:rsidRPr="00F43662" w:rsidRDefault="00E5593B" w:rsidP="001B1BEE">
            <w:pPr>
              <w:jc w:val="both"/>
              <w:rPr>
                <w:rFonts w:cstheme="minorHAnsi"/>
              </w:rPr>
            </w:pPr>
            <w:r w:rsidRPr="00F43662">
              <w:rPr>
                <w:rFonts w:cstheme="minorHAnsi"/>
                <w:b/>
                <w:bCs/>
              </w:rPr>
              <w:t>Exclusion temporaire de fonctions de 3 jours au plus</w:t>
            </w:r>
            <w:r w:rsidRPr="00F43662">
              <w:rPr>
                <w:rFonts w:cstheme="minorHAnsi"/>
              </w:rPr>
              <w:t xml:space="preserve">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5B9E9807" w14:textId="77777777" w:rsidR="00E5593B" w:rsidRPr="00F43662" w:rsidRDefault="00E5593B" w:rsidP="001B1BEE">
            <w:pPr>
              <w:jc w:val="both"/>
              <w:rPr>
                <w:rFonts w:cstheme="minorHAnsi"/>
              </w:rPr>
            </w:pPr>
            <w:proofErr w:type="gramStart"/>
            <w:r w:rsidRPr="00F43662">
              <w:rPr>
                <w:rFonts w:cstheme="minorHAnsi"/>
                <w:b/>
                <w:bCs/>
              </w:rPr>
              <w:t xml:space="preserve">OUI  </w:t>
            </w:r>
            <w:r w:rsidRPr="00F43662">
              <w:rPr>
                <w:rFonts w:cstheme="minorHAnsi"/>
              </w:rPr>
              <w:t>-</w:t>
            </w:r>
            <w:proofErr w:type="gramEnd"/>
            <w:r w:rsidRPr="00F43662">
              <w:rPr>
                <w:rFonts w:cstheme="minorHAnsi"/>
              </w:rPr>
              <w:t xml:space="preserve">  1</w:t>
            </w:r>
            <w:r w:rsidRPr="00F43662">
              <w:rPr>
                <w:rFonts w:cstheme="minorHAnsi"/>
                <w:vertAlign w:val="superscript"/>
              </w:rPr>
              <w:t>er</w:t>
            </w:r>
            <w:r w:rsidRPr="00F43662">
              <w:rPr>
                <w:rFonts w:cstheme="minorHAnsi"/>
              </w:rPr>
              <w:t xml:space="preserve"> groupe </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6E3B3528"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c>
          <w:tcPr>
            <w:tcW w:w="739"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70733FF5" w14:textId="77777777" w:rsidR="00E5593B" w:rsidRPr="00F43662" w:rsidRDefault="00E5593B" w:rsidP="001B1BEE">
            <w:pPr>
              <w:jc w:val="both"/>
              <w:rPr>
                <w:rFonts w:cstheme="minorHAnsi"/>
              </w:rPr>
            </w:pPr>
          </w:p>
        </w:tc>
      </w:tr>
      <w:tr w:rsidR="00E5593B" w:rsidRPr="00F43662" w14:paraId="40349F40"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3A7C60F9" w14:textId="77777777" w:rsidR="00E5593B" w:rsidRPr="00865399" w:rsidRDefault="00E5593B" w:rsidP="001B1BEE">
            <w:pPr>
              <w:jc w:val="both"/>
              <w:rPr>
                <w:rFonts w:cstheme="minorHAnsi"/>
                <w:bCs/>
              </w:rPr>
            </w:pPr>
            <w:r w:rsidRPr="002D1235">
              <w:rPr>
                <w:rFonts w:cstheme="minorHAnsi"/>
                <w:bCs/>
              </w:rPr>
              <w:t>Radiation du tableau d’avancement</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50A0FE88" w14:textId="77777777" w:rsidR="00E5593B" w:rsidRPr="00F43662" w:rsidRDefault="00E5593B" w:rsidP="001B1BEE">
            <w:pPr>
              <w:jc w:val="both"/>
              <w:rPr>
                <w:rFonts w:cstheme="minorHAnsi"/>
                <w:b/>
                <w:bCs/>
              </w:rPr>
            </w:pPr>
            <w:r>
              <w:rPr>
                <w:rFonts w:cstheme="minorHAnsi"/>
                <w:b/>
                <w:bCs/>
              </w:rPr>
              <w:t xml:space="preserve">OUI – </w:t>
            </w:r>
            <w:r w:rsidRPr="004077F9">
              <w:rPr>
                <w:rFonts w:cstheme="minorHAnsi"/>
                <w:bCs/>
              </w:rPr>
              <w:t>2</w:t>
            </w:r>
            <w:r w:rsidRPr="002D1235">
              <w:rPr>
                <w:rFonts w:cstheme="minorHAnsi"/>
                <w:bCs/>
                <w:vertAlign w:val="superscript"/>
              </w:rPr>
              <w:t>e</w:t>
            </w:r>
            <w:r w:rsidRPr="004077F9">
              <w:rPr>
                <w:rFonts w:cstheme="minorHAnsi"/>
                <w:bCs/>
              </w:rPr>
              <w:t xml:space="preserve"> groupe</w:t>
            </w:r>
          </w:p>
        </w:tc>
        <w:tc>
          <w:tcPr>
            <w:tcW w:w="83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61" w:type="dxa"/>
              <w:bottom w:w="0" w:type="dxa"/>
              <w:right w:w="61" w:type="dxa"/>
            </w:tcMar>
            <w:hideMark/>
          </w:tcPr>
          <w:p w14:paraId="4B518B96" w14:textId="77777777" w:rsidR="00E5593B" w:rsidRPr="00F43662" w:rsidRDefault="00E5593B" w:rsidP="001B1BEE">
            <w:pPr>
              <w:jc w:val="both"/>
              <w:rPr>
                <w:rFonts w:cstheme="minorHAnsi"/>
                <w:b/>
                <w:bCs/>
              </w:rPr>
            </w:pPr>
          </w:p>
        </w:tc>
        <w:tc>
          <w:tcPr>
            <w:tcW w:w="73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61" w:type="dxa"/>
              <w:bottom w:w="0" w:type="dxa"/>
              <w:right w:w="61" w:type="dxa"/>
            </w:tcMar>
            <w:hideMark/>
          </w:tcPr>
          <w:p w14:paraId="1264CDB7" w14:textId="77777777" w:rsidR="00E5593B" w:rsidRPr="00F43662" w:rsidRDefault="00E5593B" w:rsidP="001B1BEE">
            <w:pPr>
              <w:jc w:val="both"/>
              <w:rPr>
                <w:rFonts w:cstheme="minorHAnsi"/>
              </w:rPr>
            </w:pPr>
          </w:p>
        </w:tc>
      </w:tr>
      <w:tr w:rsidR="00E5593B" w:rsidRPr="00F43662" w14:paraId="5B756FF6"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3DCE35D0" w14:textId="77777777" w:rsidR="00E5593B" w:rsidRPr="00F43662" w:rsidRDefault="00E5593B" w:rsidP="001B1BEE">
            <w:pPr>
              <w:jc w:val="both"/>
              <w:rPr>
                <w:rFonts w:cstheme="minorHAnsi"/>
              </w:rPr>
            </w:pPr>
            <w:r w:rsidRPr="00F43662">
              <w:rPr>
                <w:rFonts w:cstheme="minorHAnsi"/>
                <w:b/>
                <w:bCs/>
              </w:rPr>
              <w:t>Abaissement d’échelon</w:t>
            </w:r>
            <w:r w:rsidRPr="00F43662">
              <w:rPr>
                <w:rFonts w:cstheme="minorHAnsi"/>
              </w:rPr>
              <w:t xml:space="preserve">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2AF3450E" w14:textId="77777777" w:rsidR="00E5593B" w:rsidRPr="00F43662" w:rsidRDefault="00E5593B" w:rsidP="001B1BEE">
            <w:pPr>
              <w:jc w:val="both"/>
              <w:rPr>
                <w:rFonts w:cstheme="minorHAnsi"/>
              </w:rPr>
            </w:pPr>
            <w:proofErr w:type="gramStart"/>
            <w:r w:rsidRPr="00F43662">
              <w:rPr>
                <w:rFonts w:cstheme="minorHAnsi"/>
                <w:b/>
                <w:bCs/>
              </w:rPr>
              <w:t xml:space="preserve">OUI  </w:t>
            </w:r>
            <w:r w:rsidRPr="00F43662">
              <w:rPr>
                <w:rFonts w:cstheme="minorHAnsi"/>
              </w:rPr>
              <w:t>-</w:t>
            </w:r>
            <w:proofErr w:type="gramEnd"/>
            <w:r w:rsidRPr="00F43662">
              <w:rPr>
                <w:rFonts w:cstheme="minorHAnsi"/>
              </w:rPr>
              <w:t xml:space="preserve"> 2</w:t>
            </w:r>
            <w:r w:rsidRPr="00F43662">
              <w:rPr>
                <w:rFonts w:cstheme="minorHAnsi"/>
                <w:vertAlign w:val="superscript"/>
              </w:rPr>
              <w:t>e</w:t>
            </w:r>
            <w:r w:rsidRPr="00F43662">
              <w:rPr>
                <w:rFonts w:cstheme="minorHAnsi"/>
              </w:rPr>
              <w:t xml:space="preserve"> groupe </w:t>
            </w:r>
          </w:p>
        </w:tc>
        <w:tc>
          <w:tcPr>
            <w:tcW w:w="8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51ACF16B" w14:textId="77777777" w:rsidR="00E5593B" w:rsidRPr="00F43662" w:rsidRDefault="00E5593B" w:rsidP="001B1BEE">
            <w:pPr>
              <w:jc w:val="both"/>
              <w:rPr>
                <w:rFonts w:cstheme="minorHAnsi"/>
              </w:rPr>
            </w:pPr>
          </w:p>
        </w:tc>
        <w:tc>
          <w:tcPr>
            <w:tcW w:w="739"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72B66CB6" w14:textId="77777777" w:rsidR="00E5593B" w:rsidRPr="00F43662" w:rsidRDefault="00E5593B" w:rsidP="001B1BEE">
            <w:pPr>
              <w:jc w:val="both"/>
              <w:rPr>
                <w:rFonts w:cstheme="minorHAnsi"/>
              </w:rPr>
            </w:pPr>
          </w:p>
        </w:tc>
      </w:tr>
      <w:tr w:rsidR="00E5593B" w:rsidRPr="00F43662" w14:paraId="7DF97993"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4355154C" w14:textId="77777777" w:rsidR="00E5593B" w:rsidRPr="00F43662" w:rsidRDefault="00E5593B" w:rsidP="001B1BEE">
            <w:pPr>
              <w:jc w:val="both"/>
              <w:rPr>
                <w:rFonts w:cstheme="minorHAnsi"/>
              </w:rPr>
            </w:pPr>
            <w:r w:rsidRPr="00F43662">
              <w:rPr>
                <w:rFonts w:cstheme="minorHAnsi"/>
                <w:b/>
                <w:bCs/>
              </w:rPr>
              <w:t>Exclusion temporaire de fonctions de 4 à 15 jours</w:t>
            </w:r>
            <w:r w:rsidRPr="00F43662">
              <w:rPr>
                <w:rFonts w:cstheme="minorHAnsi"/>
              </w:rPr>
              <w:t xml:space="preserve">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321ED1C9" w14:textId="77777777" w:rsidR="00E5593B" w:rsidRPr="00F43662" w:rsidRDefault="00E5593B" w:rsidP="001B1BEE">
            <w:pPr>
              <w:jc w:val="both"/>
              <w:rPr>
                <w:rFonts w:cstheme="minorHAnsi"/>
              </w:rPr>
            </w:pPr>
            <w:proofErr w:type="gramStart"/>
            <w:r w:rsidRPr="00F43662">
              <w:rPr>
                <w:rFonts w:cstheme="minorHAnsi"/>
                <w:b/>
                <w:bCs/>
              </w:rPr>
              <w:t xml:space="preserve">OUI  </w:t>
            </w:r>
            <w:r w:rsidRPr="00F43662">
              <w:rPr>
                <w:rFonts w:cstheme="minorHAnsi"/>
              </w:rPr>
              <w:t>-</w:t>
            </w:r>
            <w:proofErr w:type="gramEnd"/>
            <w:r w:rsidRPr="00F43662">
              <w:rPr>
                <w:rFonts w:cstheme="minorHAnsi"/>
              </w:rPr>
              <w:t xml:space="preserve"> 2e groupe </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6362E94E"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c>
          <w:tcPr>
            <w:tcW w:w="739"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649D34A5" w14:textId="77777777" w:rsidR="00E5593B" w:rsidRPr="00F43662" w:rsidRDefault="00E5593B" w:rsidP="001B1BEE">
            <w:pPr>
              <w:jc w:val="both"/>
              <w:rPr>
                <w:rFonts w:cstheme="minorHAnsi"/>
              </w:rPr>
            </w:pPr>
          </w:p>
        </w:tc>
      </w:tr>
      <w:tr w:rsidR="00E5593B" w:rsidRPr="00F43662" w14:paraId="33659F52"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66BA0239" w14:textId="77777777" w:rsidR="00E5593B" w:rsidRPr="00F43662" w:rsidRDefault="00E5593B" w:rsidP="001B1BEE">
            <w:pPr>
              <w:jc w:val="both"/>
              <w:rPr>
                <w:rFonts w:cstheme="minorHAnsi"/>
              </w:rPr>
            </w:pPr>
            <w:r w:rsidRPr="00F43662">
              <w:rPr>
                <w:rFonts w:cstheme="minorHAnsi"/>
                <w:b/>
                <w:bCs/>
              </w:rPr>
              <w:t xml:space="preserve">Rétrogradation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08F42E6F" w14:textId="77777777" w:rsidR="00E5593B" w:rsidRPr="00F43662" w:rsidRDefault="00E5593B" w:rsidP="001B1BEE">
            <w:pPr>
              <w:jc w:val="both"/>
              <w:rPr>
                <w:rFonts w:cstheme="minorHAnsi"/>
              </w:rPr>
            </w:pPr>
            <w:proofErr w:type="gramStart"/>
            <w:r w:rsidRPr="00F43662">
              <w:rPr>
                <w:rFonts w:cstheme="minorHAnsi"/>
                <w:b/>
                <w:bCs/>
              </w:rPr>
              <w:t xml:space="preserve">OUI  </w:t>
            </w:r>
            <w:r w:rsidRPr="00F43662">
              <w:rPr>
                <w:rFonts w:cstheme="minorHAnsi"/>
              </w:rPr>
              <w:t>-</w:t>
            </w:r>
            <w:proofErr w:type="gramEnd"/>
            <w:r w:rsidRPr="00F43662">
              <w:rPr>
                <w:rFonts w:cstheme="minorHAnsi"/>
              </w:rPr>
              <w:t xml:space="preserve"> 3</w:t>
            </w:r>
            <w:r w:rsidRPr="00F43662">
              <w:rPr>
                <w:rFonts w:cstheme="minorHAnsi"/>
                <w:vertAlign w:val="superscript"/>
              </w:rPr>
              <w:t>e</w:t>
            </w:r>
            <w:r w:rsidRPr="00F43662">
              <w:rPr>
                <w:rFonts w:cstheme="minorHAnsi"/>
              </w:rPr>
              <w:t xml:space="preserve"> groupe </w:t>
            </w:r>
          </w:p>
        </w:tc>
        <w:tc>
          <w:tcPr>
            <w:tcW w:w="8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1AA6171E" w14:textId="77777777" w:rsidR="00E5593B" w:rsidRPr="00F43662" w:rsidRDefault="00E5593B" w:rsidP="001B1BEE">
            <w:pPr>
              <w:jc w:val="both"/>
              <w:rPr>
                <w:rFonts w:cstheme="minorHAnsi"/>
              </w:rPr>
            </w:pPr>
          </w:p>
        </w:tc>
        <w:tc>
          <w:tcPr>
            <w:tcW w:w="739"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70D1959D" w14:textId="77777777" w:rsidR="00E5593B" w:rsidRPr="00F43662" w:rsidRDefault="00E5593B" w:rsidP="001B1BEE">
            <w:pPr>
              <w:jc w:val="both"/>
              <w:rPr>
                <w:rFonts w:cstheme="minorHAnsi"/>
              </w:rPr>
            </w:pPr>
          </w:p>
        </w:tc>
      </w:tr>
      <w:tr w:rsidR="00E5593B" w:rsidRPr="00F43662" w14:paraId="48F2679C"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5C9DED38" w14:textId="77777777" w:rsidR="00E5593B" w:rsidRPr="00F43662" w:rsidRDefault="00E5593B" w:rsidP="001B1BEE">
            <w:pPr>
              <w:jc w:val="both"/>
              <w:rPr>
                <w:rFonts w:cstheme="minorHAnsi"/>
              </w:rPr>
            </w:pPr>
            <w:r w:rsidRPr="00F43662">
              <w:rPr>
                <w:rFonts w:cstheme="minorHAnsi"/>
                <w:b/>
                <w:bCs/>
              </w:rPr>
              <w:t>Exclusion temporaire de fonctions de 16 jours à 2 ans</w:t>
            </w:r>
            <w:r w:rsidRPr="00F43662">
              <w:rPr>
                <w:rFonts w:cstheme="minorHAnsi"/>
              </w:rPr>
              <w:t xml:space="preserve">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31A274C8" w14:textId="77777777" w:rsidR="00E5593B" w:rsidRPr="00F43662" w:rsidRDefault="00E5593B" w:rsidP="001B1BEE">
            <w:pPr>
              <w:jc w:val="both"/>
              <w:rPr>
                <w:rFonts w:cstheme="minorHAnsi"/>
              </w:rPr>
            </w:pPr>
            <w:r w:rsidRPr="00F43662">
              <w:rPr>
                <w:rFonts w:cstheme="minorHAnsi"/>
                <w:b/>
                <w:bCs/>
              </w:rPr>
              <w:t xml:space="preserve">OUI </w:t>
            </w:r>
            <w:r w:rsidRPr="00F43662">
              <w:rPr>
                <w:rFonts w:cstheme="minorHAnsi"/>
              </w:rPr>
              <w:t>- 3</w:t>
            </w:r>
            <w:r w:rsidRPr="00F43662">
              <w:rPr>
                <w:rFonts w:cstheme="minorHAnsi"/>
                <w:vertAlign w:val="superscript"/>
              </w:rPr>
              <w:t>e</w:t>
            </w:r>
            <w:r w:rsidRPr="00F43662">
              <w:rPr>
                <w:rFonts w:cstheme="minorHAnsi"/>
              </w:rPr>
              <w:t xml:space="preserve"> groupe </w:t>
            </w:r>
          </w:p>
        </w:tc>
        <w:tc>
          <w:tcPr>
            <w:tcW w:w="8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4066E4AA" w14:textId="77777777" w:rsidR="00E5593B" w:rsidRPr="00F43662" w:rsidRDefault="00E5593B" w:rsidP="001B1BEE">
            <w:pPr>
              <w:jc w:val="both"/>
              <w:rPr>
                <w:rFonts w:cstheme="minorHAnsi"/>
              </w:rPr>
            </w:pPr>
          </w:p>
        </w:tc>
        <w:tc>
          <w:tcPr>
            <w:tcW w:w="739"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465F1697" w14:textId="77777777" w:rsidR="00E5593B" w:rsidRPr="00F43662" w:rsidRDefault="00E5593B" w:rsidP="001B1BEE">
            <w:pPr>
              <w:jc w:val="both"/>
              <w:rPr>
                <w:rFonts w:cstheme="minorHAnsi"/>
              </w:rPr>
            </w:pPr>
          </w:p>
        </w:tc>
      </w:tr>
      <w:tr w:rsidR="00E5593B" w:rsidRPr="00F43662" w14:paraId="3660D320"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167DB3D3" w14:textId="77777777" w:rsidR="00E5593B" w:rsidRPr="00F43662" w:rsidRDefault="00E5593B" w:rsidP="001B1BEE">
            <w:pPr>
              <w:jc w:val="both"/>
              <w:rPr>
                <w:rFonts w:cstheme="minorHAnsi"/>
              </w:rPr>
            </w:pPr>
            <w:r w:rsidRPr="00F43662">
              <w:rPr>
                <w:rFonts w:cstheme="minorHAnsi"/>
                <w:b/>
                <w:bCs/>
              </w:rPr>
              <w:t>Mise à la retraite d’office</w:t>
            </w:r>
            <w:r w:rsidRPr="00F43662">
              <w:rPr>
                <w:rFonts w:cstheme="minorHAnsi"/>
              </w:rPr>
              <w:t xml:space="preserve">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6F686B8F" w14:textId="77777777" w:rsidR="00E5593B" w:rsidRPr="00F43662" w:rsidRDefault="00E5593B" w:rsidP="001B1BEE">
            <w:pPr>
              <w:jc w:val="both"/>
              <w:rPr>
                <w:rFonts w:cstheme="minorHAnsi"/>
              </w:rPr>
            </w:pPr>
            <w:proofErr w:type="gramStart"/>
            <w:r w:rsidRPr="00F43662">
              <w:rPr>
                <w:rFonts w:cstheme="minorHAnsi"/>
                <w:b/>
                <w:bCs/>
              </w:rPr>
              <w:t xml:space="preserve">OUI  </w:t>
            </w:r>
            <w:r w:rsidRPr="00F43662">
              <w:rPr>
                <w:rFonts w:cstheme="minorHAnsi"/>
              </w:rPr>
              <w:t>-</w:t>
            </w:r>
            <w:proofErr w:type="gramEnd"/>
            <w:r w:rsidRPr="00F43662">
              <w:rPr>
                <w:rFonts w:cstheme="minorHAnsi"/>
              </w:rPr>
              <w:t xml:space="preserve"> 4</w:t>
            </w:r>
            <w:r w:rsidRPr="00F43662">
              <w:rPr>
                <w:rFonts w:cstheme="minorHAnsi"/>
                <w:vertAlign w:val="superscript"/>
              </w:rPr>
              <w:t>e</w:t>
            </w:r>
            <w:r w:rsidRPr="00F43662">
              <w:rPr>
                <w:rFonts w:cstheme="minorHAnsi"/>
              </w:rPr>
              <w:t xml:space="preserve"> groupe </w:t>
            </w:r>
          </w:p>
        </w:tc>
        <w:tc>
          <w:tcPr>
            <w:tcW w:w="8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13F338D9" w14:textId="77777777" w:rsidR="00E5593B" w:rsidRPr="00F43662" w:rsidRDefault="00E5593B" w:rsidP="001B1BEE">
            <w:pPr>
              <w:jc w:val="both"/>
              <w:rPr>
                <w:rFonts w:cstheme="minorHAnsi"/>
              </w:rPr>
            </w:pPr>
          </w:p>
        </w:tc>
        <w:tc>
          <w:tcPr>
            <w:tcW w:w="739"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74D8A5E2" w14:textId="77777777" w:rsidR="00E5593B" w:rsidRPr="00F43662" w:rsidRDefault="00E5593B" w:rsidP="001B1BEE">
            <w:pPr>
              <w:jc w:val="both"/>
              <w:rPr>
                <w:rFonts w:cstheme="minorHAnsi"/>
              </w:rPr>
            </w:pPr>
          </w:p>
        </w:tc>
      </w:tr>
      <w:tr w:rsidR="00E5593B" w:rsidRPr="00F43662" w14:paraId="7BDE2B2E"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3B904E90" w14:textId="77777777" w:rsidR="00E5593B" w:rsidRPr="00F43662" w:rsidRDefault="00E5593B" w:rsidP="001B1BEE">
            <w:pPr>
              <w:jc w:val="both"/>
              <w:rPr>
                <w:rFonts w:cstheme="minorHAnsi"/>
              </w:rPr>
            </w:pPr>
            <w:r w:rsidRPr="00F43662">
              <w:rPr>
                <w:rFonts w:cstheme="minorHAnsi"/>
                <w:b/>
                <w:bCs/>
              </w:rPr>
              <w:t>Révocation</w:t>
            </w:r>
            <w:r w:rsidRPr="00F43662">
              <w:rPr>
                <w:rFonts w:cstheme="minorHAnsi"/>
              </w:rPr>
              <w:t xml:space="preserve">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2A22BF48" w14:textId="77777777" w:rsidR="00E5593B" w:rsidRPr="00F43662" w:rsidRDefault="00E5593B" w:rsidP="001B1BEE">
            <w:pPr>
              <w:jc w:val="both"/>
              <w:rPr>
                <w:rFonts w:cstheme="minorHAnsi"/>
              </w:rPr>
            </w:pPr>
            <w:proofErr w:type="gramStart"/>
            <w:r w:rsidRPr="00F43662">
              <w:rPr>
                <w:rFonts w:cstheme="minorHAnsi"/>
                <w:b/>
                <w:bCs/>
              </w:rPr>
              <w:t xml:space="preserve">OUI  </w:t>
            </w:r>
            <w:r w:rsidRPr="00F43662">
              <w:rPr>
                <w:rFonts w:cstheme="minorHAnsi"/>
              </w:rPr>
              <w:t>-</w:t>
            </w:r>
            <w:proofErr w:type="gramEnd"/>
            <w:r w:rsidRPr="00F43662">
              <w:rPr>
                <w:rFonts w:cstheme="minorHAnsi"/>
              </w:rPr>
              <w:t xml:space="preserve"> 4</w:t>
            </w:r>
            <w:r w:rsidRPr="00F43662">
              <w:rPr>
                <w:rFonts w:cstheme="minorHAnsi"/>
                <w:vertAlign w:val="superscript"/>
              </w:rPr>
              <w:t>e</w:t>
            </w:r>
            <w:r w:rsidRPr="00F43662">
              <w:rPr>
                <w:rFonts w:cstheme="minorHAnsi"/>
              </w:rPr>
              <w:t xml:space="preserve"> groupe </w:t>
            </w:r>
          </w:p>
        </w:tc>
        <w:tc>
          <w:tcPr>
            <w:tcW w:w="8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12110640" w14:textId="77777777" w:rsidR="00E5593B" w:rsidRPr="00F43662" w:rsidRDefault="00E5593B" w:rsidP="001B1BEE">
            <w:pPr>
              <w:jc w:val="both"/>
              <w:rPr>
                <w:rFonts w:cstheme="minorHAnsi"/>
              </w:rPr>
            </w:pPr>
          </w:p>
        </w:tc>
        <w:tc>
          <w:tcPr>
            <w:tcW w:w="739"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3229779A" w14:textId="77777777" w:rsidR="00E5593B" w:rsidRPr="00F43662" w:rsidRDefault="00E5593B" w:rsidP="001B1BEE">
            <w:pPr>
              <w:jc w:val="both"/>
              <w:rPr>
                <w:rFonts w:cstheme="minorHAnsi"/>
              </w:rPr>
            </w:pPr>
          </w:p>
        </w:tc>
      </w:tr>
      <w:tr w:rsidR="00E5593B" w:rsidRPr="00F43662" w14:paraId="04FA5081" w14:textId="77777777" w:rsidTr="001B1BEE">
        <w:trPr>
          <w:trHeight w:val="396"/>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152B748E" w14:textId="77777777" w:rsidR="00E5593B" w:rsidRPr="00F43662" w:rsidRDefault="00E5593B" w:rsidP="001B1BEE">
            <w:pPr>
              <w:jc w:val="both"/>
              <w:rPr>
                <w:rFonts w:cstheme="minorHAnsi"/>
              </w:rPr>
            </w:pPr>
            <w:r w:rsidRPr="00F43662">
              <w:rPr>
                <w:rFonts w:cstheme="minorHAnsi"/>
                <w:b/>
                <w:bCs/>
              </w:rPr>
              <w:t xml:space="preserve">Exclusion définitive du service </w:t>
            </w:r>
          </w:p>
        </w:tc>
        <w:tc>
          <w:tcPr>
            <w:tcW w:w="9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3F233457" w14:textId="77777777" w:rsidR="00E5593B" w:rsidRPr="00F43662" w:rsidRDefault="00E5593B" w:rsidP="001B1BEE">
            <w:pPr>
              <w:jc w:val="both"/>
              <w:rPr>
                <w:rFonts w:cstheme="minorHAnsi"/>
              </w:rPr>
            </w:pP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449BD5C1"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c>
          <w:tcPr>
            <w:tcW w:w="739"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29643963" w14:textId="77777777" w:rsidR="00E5593B" w:rsidRPr="00F43662" w:rsidRDefault="00E5593B" w:rsidP="001B1BEE">
            <w:pPr>
              <w:jc w:val="both"/>
              <w:rPr>
                <w:rFonts w:cstheme="minorHAnsi"/>
              </w:rPr>
            </w:pPr>
          </w:p>
        </w:tc>
      </w:tr>
      <w:tr w:rsidR="00E5593B" w:rsidRPr="00F43662" w14:paraId="08F5BC13" w14:textId="77777777" w:rsidTr="001B1BEE">
        <w:trPr>
          <w:trHeight w:val="990"/>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11EF078F" w14:textId="77777777" w:rsidR="00E5593B" w:rsidRPr="00F43662" w:rsidRDefault="00E5593B" w:rsidP="001B1BEE">
            <w:pPr>
              <w:jc w:val="both"/>
              <w:rPr>
                <w:rFonts w:cstheme="minorHAnsi"/>
              </w:rPr>
            </w:pPr>
            <w:r w:rsidRPr="00F43662">
              <w:rPr>
                <w:rFonts w:cstheme="minorHAnsi"/>
                <w:b/>
                <w:bCs/>
              </w:rPr>
              <w:t xml:space="preserve">Exclusion temporaire </w:t>
            </w:r>
            <w:r w:rsidRPr="00F43662">
              <w:rPr>
                <w:rFonts w:cstheme="minorHAnsi"/>
              </w:rPr>
              <w:t xml:space="preserve">des fonctions avec retenue de traitement pour une durée maximale de </w:t>
            </w:r>
            <w:r w:rsidRPr="00F43662">
              <w:rPr>
                <w:rFonts w:cstheme="minorHAnsi"/>
                <w:b/>
                <w:bCs/>
              </w:rPr>
              <w:t>6 mois</w:t>
            </w:r>
            <w:r w:rsidRPr="00F43662">
              <w:rPr>
                <w:rFonts w:cstheme="minorHAnsi"/>
              </w:rPr>
              <w:t xml:space="preserve"> pour les agents recrutés pour une durée déterminée </w:t>
            </w:r>
          </w:p>
        </w:tc>
        <w:tc>
          <w:tcPr>
            <w:tcW w:w="9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1A01B040" w14:textId="77777777" w:rsidR="00E5593B" w:rsidRPr="00F43662" w:rsidRDefault="00E5593B" w:rsidP="001B1BEE">
            <w:pPr>
              <w:jc w:val="both"/>
              <w:rPr>
                <w:rFonts w:cstheme="minorHAnsi"/>
              </w:rPr>
            </w:pPr>
          </w:p>
        </w:tc>
        <w:tc>
          <w:tcPr>
            <w:tcW w:w="8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4DD33CAC" w14:textId="77777777" w:rsidR="00E5593B" w:rsidRPr="00F43662" w:rsidRDefault="00E5593B" w:rsidP="001B1BEE">
            <w:pPr>
              <w:jc w:val="both"/>
              <w:rPr>
                <w:rFonts w:cstheme="minorHAnsi"/>
              </w:rPr>
            </w:pP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3BCB7FE1"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r>
      <w:tr w:rsidR="00E5593B" w:rsidRPr="00F43662" w14:paraId="31FAF4AA" w14:textId="77777777" w:rsidTr="001B1BEE">
        <w:trPr>
          <w:trHeight w:val="990"/>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563CD681" w14:textId="77777777" w:rsidR="00E5593B" w:rsidRPr="00F43662" w:rsidRDefault="00E5593B" w:rsidP="001B1BEE">
            <w:pPr>
              <w:jc w:val="both"/>
              <w:rPr>
                <w:rFonts w:cstheme="minorHAnsi"/>
              </w:rPr>
            </w:pPr>
            <w:r w:rsidRPr="00F43662">
              <w:rPr>
                <w:rFonts w:cstheme="minorHAnsi"/>
                <w:b/>
                <w:bCs/>
              </w:rPr>
              <w:t xml:space="preserve">Exclusion temporaire </w:t>
            </w:r>
            <w:r w:rsidRPr="00F43662">
              <w:rPr>
                <w:rFonts w:cstheme="minorHAnsi"/>
              </w:rPr>
              <w:t xml:space="preserve">des fonctions avec retenue de traitement pour une durée maximale </w:t>
            </w:r>
            <w:r w:rsidRPr="00F43662">
              <w:rPr>
                <w:rFonts w:cstheme="minorHAnsi"/>
                <w:b/>
                <w:bCs/>
              </w:rPr>
              <w:t>d'un an</w:t>
            </w:r>
            <w:r w:rsidRPr="00F43662">
              <w:rPr>
                <w:rFonts w:cstheme="minorHAnsi"/>
              </w:rPr>
              <w:t xml:space="preserve"> pour les agents sous contrat à durée indéterminée </w:t>
            </w:r>
          </w:p>
        </w:tc>
        <w:tc>
          <w:tcPr>
            <w:tcW w:w="9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76FDF624" w14:textId="77777777" w:rsidR="00E5593B" w:rsidRPr="00F43662" w:rsidRDefault="00E5593B" w:rsidP="001B1BEE">
            <w:pPr>
              <w:jc w:val="both"/>
              <w:rPr>
                <w:rFonts w:cstheme="minorHAnsi"/>
              </w:rPr>
            </w:pPr>
          </w:p>
        </w:tc>
        <w:tc>
          <w:tcPr>
            <w:tcW w:w="8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07D8B6C5" w14:textId="77777777" w:rsidR="00E5593B" w:rsidRPr="00F43662" w:rsidRDefault="00E5593B" w:rsidP="001B1BEE">
            <w:pPr>
              <w:jc w:val="both"/>
              <w:rPr>
                <w:rFonts w:cstheme="minorHAnsi"/>
              </w:rPr>
            </w:pP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1FE8686E" w14:textId="77777777" w:rsidR="00E5593B" w:rsidRPr="00F43662" w:rsidRDefault="00E5593B" w:rsidP="001B1BEE">
            <w:pPr>
              <w:jc w:val="both"/>
              <w:rPr>
                <w:rFonts w:cstheme="minorHAnsi"/>
              </w:rPr>
            </w:pPr>
            <w:r w:rsidRPr="00F43662">
              <w:rPr>
                <w:rFonts w:cstheme="minorHAnsi"/>
                <w:b/>
                <w:bCs/>
              </w:rPr>
              <w:t>OUI</w:t>
            </w:r>
            <w:r w:rsidRPr="00F43662">
              <w:rPr>
                <w:rFonts w:cstheme="minorHAnsi"/>
              </w:rPr>
              <w:t xml:space="preserve"> </w:t>
            </w:r>
          </w:p>
        </w:tc>
      </w:tr>
      <w:tr w:rsidR="00E5593B" w:rsidRPr="00556AEE" w14:paraId="17C19C28" w14:textId="77777777" w:rsidTr="001B1BEE">
        <w:trPr>
          <w:trHeight w:val="495"/>
        </w:trPr>
        <w:tc>
          <w:tcPr>
            <w:tcW w:w="2496"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0388FA26" w14:textId="77777777" w:rsidR="00E5593B" w:rsidRPr="00F43662" w:rsidRDefault="00E5593B" w:rsidP="001B1BEE">
            <w:pPr>
              <w:jc w:val="both"/>
              <w:rPr>
                <w:rFonts w:cstheme="minorHAnsi"/>
              </w:rPr>
            </w:pPr>
            <w:r w:rsidRPr="00F43662">
              <w:rPr>
                <w:rFonts w:cstheme="minorHAnsi"/>
                <w:b/>
                <w:bCs/>
              </w:rPr>
              <w:t xml:space="preserve">Licenciement, </w:t>
            </w:r>
            <w:r w:rsidRPr="00F43662">
              <w:rPr>
                <w:rFonts w:cstheme="minorHAnsi"/>
              </w:rPr>
              <w:t xml:space="preserve">sans préavis ni indemnité de licenciement </w:t>
            </w:r>
          </w:p>
        </w:tc>
        <w:tc>
          <w:tcPr>
            <w:tcW w:w="9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38F135DC" w14:textId="77777777" w:rsidR="00E5593B" w:rsidRPr="00F43662" w:rsidRDefault="00E5593B" w:rsidP="001B1BEE">
            <w:pPr>
              <w:jc w:val="both"/>
              <w:rPr>
                <w:rFonts w:cstheme="minorHAnsi"/>
              </w:rPr>
            </w:pPr>
          </w:p>
        </w:tc>
        <w:tc>
          <w:tcPr>
            <w:tcW w:w="832" w:type="pct"/>
            <w:tcBorders>
              <w:top w:val="single" w:sz="8" w:space="0" w:color="000000"/>
              <w:left w:val="single" w:sz="8" w:space="0" w:color="000000"/>
              <w:bottom w:val="single" w:sz="8" w:space="0" w:color="000000"/>
              <w:right w:val="single" w:sz="8" w:space="0" w:color="000000"/>
            </w:tcBorders>
            <w:shd w:val="clear" w:color="auto" w:fill="BFBFBF"/>
            <w:tcMar>
              <w:top w:w="14" w:type="dxa"/>
              <w:left w:w="61" w:type="dxa"/>
              <w:bottom w:w="0" w:type="dxa"/>
              <w:right w:w="61" w:type="dxa"/>
            </w:tcMar>
            <w:hideMark/>
          </w:tcPr>
          <w:p w14:paraId="18ABF94A" w14:textId="77777777" w:rsidR="00E5593B" w:rsidRPr="00F43662" w:rsidRDefault="00E5593B" w:rsidP="001B1BEE">
            <w:pPr>
              <w:jc w:val="both"/>
              <w:rPr>
                <w:rFonts w:cstheme="minorHAnsi"/>
              </w:rPr>
            </w:pP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4" w:type="dxa"/>
              <w:left w:w="61" w:type="dxa"/>
              <w:bottom w:w="0" w:type="dxa"/>
              <w:right w:w="61" w:type="dxa"/>
            </w:tcMar>
            <w:hideMark/>
          </w:tcPr>
          <w:p w14:paraId="1887407C" w14:textId="77777777" w:rsidR="00E5593B" w:rsidRPr="00556AEE" w:rsidRDefault="00E5593B" w:rsidP="001B1BEE">
            <w:pPr>
              <w:jc w:val="both"/>
              <w:rPr>
                <w:rFonts w:cstheme="minorHAnsi"/>
              </w:rPr>
            </w:pPr>
            <w:r w:rsidRPr="00F43662">
              <w:rPr>
                <w:rFonts w:cstheme="minorHAnsi"/>
                <w:b/>
                <w:bCs/>
              </w:rPr>
              <w:t>OUI</w:t>
            </w:r>
            <w:r w:rsidRPr="00556AEE">
              <w:rPr>
                <w:rFonts w:cstheme="minorHAnsi"/>
              </w:rPr>
              <w:t xml:space="preserve"> </w:t>
            </w:r>
          </w:p>
        </w:tc>
      </w:tr>
    </w:tbl>
    <w:p w14:paraId="79906C77" w14:textId="77777777" w:rsidR="00E5593B" w:rsidRPr="00FD0FB7" w:rsidRDefault="00E5593B" w:rsidP="00E5593B">
      <w:pPr>
        <w:jc w:val="both"/>
        <w:rPr>
          <w:color w:val="000000"/>
        </w:rPr>
      </w:pPr>
    </w:p>
    <w:p w14:paraId="349E0B71" w14:textId="77777777" w:rsidR="00E5593B" w:rsidRDefault="00E5593B" w:rsidP="00E5593B">
      <w:pPr>
        <w:overflowPunct/>
        <w:autoSpaceDE/>
        <w:autoSpaceDN/>
        <w:adjustRightInd/>
        <w:textAlignment w:val="auto"/>
        <w:rPr>
          <w:color w:val="000000"/>
        </w:rPr>
      </w:pPr>
      <w:r>
        <w:rPr>
          <w:color w:val="000000"/>
        </w:rPr>
        <w:br w:type="page"/>
      </w:r>
    </w:p>
    <w:p w14:paraId="13EA43DA" w14:textId="77777777" w:rsidR="00420657" w:rsidRPr="007B17E5" w:rsidRDefault="00420657" w:rsidP="00420657">
      <w:pPr>
        <w:pStyle w:val="Titre1"/>
      </w:pPr>
      <w:bookmarkStart w:id="26" w:name="_Toc76029654"/>
      <w:bookmarkStart w:id="27" w:name="_Toc104276133"/>
      <w:proofErr w:type="spellStart"/>
      <w:r w:rsidRPr="007B17E5">
        <w:lastRenderedPageBreak/>
        <w:t>Handitorial</w:t>
      </w:r>
      <w:bookmarkEnd w:id="26"/>
      <w:bookmarkEnd w:id="27"/>
      <w:proofErr w:type="spellEnd"/>
    </w:p>
    <w:p w14:paraId="1D39B5AC" w14:textId="77777777" w:rsidR="00420657" w:rsidRDefault="00420657" w:rsidP="00420657">
      <w:pPr>
        <w:pStyle w:val="NormalWeb"/>
        <w:spacing w:before="0" w:after="0"/>
      </w:pPr>
    </w:p>
    <w:p w14:paraId="49FB5928" w14:textId="77777777" w:rsidR="00420657" w:rsidRPr="00130B99" w:rsidRDefault="00420657" w:rsidP="00420657">
      <w:pPr>
        <w:pStyle w:val="NormalWeb"/>
        <w:spacing w:before="0" w:after="0"/>
        <w:rPr>
          <w:rFonts w:cs="Arial"/>
          <w:b/>
          <w:color w:val="00B0F0"/>
          <w:szCs w:val="24"/>
        </w:rPr>
      </w:pPr>
      <w:r w:rsidRPr="00130B99">
        <w:rPr>
          <w:rFonts w:cs="Arial"/>
          <w:b/>
          <w:bCs/>
          <w:color w:val="00B0F0"/>
          <w:szCs w:val="24"/>
        </w:rPr>
        <w:t>Comment doit-on compter le nombre de mesures prononcées au cours de l’année de l’enquête ?</w:t>
      </w:r>
    </w:p>
    <w:p w14:paraId="4A982CEC" w14:textId="77777777" w:rsidR="00420657" w:rsidRPr="00F43662" w:rsidRDefault="00420657" w:rsidP="00420657">
      <w:pPr>
        <w:pStyle w:val="NormalWeb"/>
        <w:spacing w:before="0" w:after="0"/>
        <w:jc w:val="both"/>
      </w:pPr>
      <w:r>
        <w:t>Il faut comptabiliser le nombre de mesures totales prononcées pour l’ensemble des agents de votre collectivité au cours de l’année de l’enquête et non le nombre d’agents qui ont bénéficié de ces mesures.</w:t>
      </w:r>
      <w:r>
        <w:rPr>
          <w:rFonts w:eastAsiaTheme="majorEastAsia" w:cstheme="majorBidi"/>
          <w:b/>
          <w:bCs/>
          <w:color w:val="00B050"/>
          <w:sz w:val="32"/>
          <w:szCs w:val="28"/>
          <w:u w:val="single"/>
        </w:rPr>
        <w:br w:type="page"/>
      </w:r>
    </w:p>
    <w:p w14:paraId="56DB9093" w14:textId="77777777" w:rsidR="00420657" w:rsidRPr="00846288" w:rsidRDefault="00420657" w:rsidP="00420657">
      <w:pPr>
        <w:pStyle w:val="Titre1"/>
      </w:pPr>
      <w:bookmarkStart w:id="28" w:name="_Toc101772826"/>
      <w:bookmarkStart w:id="29" w:name="_Toc104276134"/>
      <w:r w:rsidRPr="00846288">
        <w:lastRenderedPageBreak/>
        <w:t>Le Rapport Annuel sur la Santé, la Sécurité et les Conditions de travail (RASSCT)</w:t>
      </w:r>
      <w:bookmarkEnd w:id="28"/>
      <w:bookmarkEnd w:id="29"/>
    </w:p>
    <w:p w14:paraId="40463EEB" w14:textId="77777777" w:rsidR="00420657" w:rsidRPr="00846288" w:rsidRDefault="00420657" w:rsidP="00420657">
      <w:pPr>
        <w:jc w:val="center"/>
        <w:rPr>
          <w:rFonts w:eastAsiaTheme="majorEastAsia" w:cstheme="majorBidi"/>
          <w:b/>
          <w:bCs/>
          <w:color w:val="00B050"/>
          <w:sz w:val="32"/>
          <w:szCs w:val="28"/>
          <w:u w:val="single"/>
        </w:rPr>
      </w:pPr>
    </w:p>
    <w:p w14:paraId="61E8818E" w14:textId="77777777" w:rsidR="00420657" w:rsidRPr="00555076" w:rsidRDefault="00420657" w:rsidP="00420657">
      <w:pPr>
        <w:jc w:val="both"/>
        <w:rPr>
          <w:rFonts w:cs="Arial"/>
          <w:b/>
          <w:color w:val="00B0F0"/>
          <w:szCs w:val="24"/>
        </w:rPr>
      </w:pPr>
      <w:r w:rsidRPr="00555076">
        <w:rPr>
          <w:rFonts w:cs="Arial"/>
          <w:b/>
          <w:color w:val="00B0F0"/>
          <w:szCs w:val="24"/>
        </w:rPr>
        <w:t>Le Rapport Annuel sur la Santé, la Sécurité et les Conditions de travail (RASSCT) est-il obligatoire ?</w:t>
      </w:r>
    </w:p>
    <w:p w14:paraId="5841C21F" w14:textId="77777777" w:rsidR="009B427C" w:rsidRDefault="009B427C" w:rsidP="009B427C">
      <w:pPr>
        <w:jc w:val="both"/>
        <w:rPr>
          <w:color w:val="000000"/>
        </w:rPr>
      </w:pPr>
      <w:r w:rsidRPr="001807AA">
        <w:rPr>
          <w:color w:val="000000"/>
        </w:rPr>
        <w:t xml:space="preserve">L’article 49 du décret n°85-603 du 10 juin 1985, modifié par le décret n°2012-170 du 3 février 2012, stipule que chaque année, le président soumet au </w:t>
      </w:r>
      <w:r w:rsidRPr="001D0ECA">
        <w:rPr>
          <w:color w:val="000000"/>
        </w:rPr>
        <w:t>comité d'hygiène, de sécurité et des conditions de travail (CHSCT) ou au comité technique lorsqu'il exerce les missions du comité d'hygiène, de sécurité et des conditions de travail</w:t>
      </w:r>
      <w:r w:rsidRPr="001807AA">
        <w:rPr>
          <w:color w:val="000000"/>
        </w:rPr>
        <w:t>, pour avis, un rapport annuel écrit faisant le bilan de la situation générale de la santé, de la sécurité et des conditions de travail du ou des services entrant dans le champ de compétence du comité et des actions menées au cours de l'année écoulée.</w:t>
      </w:r>
    </w:p>
    <w:p w14:paraId="04530C75" w14:textId="77777777" w:rsidR="009B427C" w:rsidRPr="00846288" w:rsidRDefault="009B427C" w:rsidP="00420657">
      <w:pPr>
        <w:jc w:val="both"/>
        <w:rPr>
          <w:color w:val="000000"/>
        </w:rPr>
      </w:pPr>
    </w:p>
    <w:p w14:paraId="3A3B5A25" w14:textId="77777777" w:rsidR="00420657" w:rsidRPr="00846288" w:rsidRDefault="00420657" w:rsidP="00420657">
      <w:pPr>
        <w:jc w:val="both"/>
        <w:rPr>
          <w:rFonts w:cs="Arial"/>
          <w:b/>
          <w:color w:val="00B0F0"/>
          <w:szCs w:val="24"/>
        </w:rPr>
      </w:pPr>
      <w:r w:rsidRPr="00846288">
        <w:rPr>
          <w:rFonts w:cs="Arial"/>
          <w:b/>
          <w:color w:val="00B0F0"/>
          <w:szCs w:val="24"/>
        </w:rPr>
        <w:t>Pourquoi saisir le Rapport Annuel sur la Santé, la Sécurité et les Conditions de travail (RASSCT) ?</w:t>
      </w:r>
    </w:p>
    <w:p w14:paraId="11FE120A" w14:textId="77777777" w:rsidR="00420657" w:rsidRPr="00846288" w:rsidRDefault="00420657" w:rsidP="00420657">
      <w:pPr>
        <w:jc w:val="both"/>
        <w:rPr>
          <w:color w:val="000000"/>
        </w:rPr>
      </w:pPr>
      <w:r w:rsidRPr="00846288">
        <w:rPr>
          <w:color w:val="000000"/>
        </w:rPr>
        <w:t>Le RASSCT rassemble des informations relatives aux mesures de prévention des risques professionnels mis en place par la collectivité (formations, achat de matériel, etc.) ainsi que des données relatives aux maladies professionnelles et aux accidents du travail (service et trajet) des agents. Ce rapport constitue donc à la fois :</w:t>
      </w:r>
    </w:p>
    <w:p w14:paraId="5B06BFE1" w14:textId="77777777" w:rsidR="00420657" w:rsidRPr="00846288" w:rsidRDefault="00420657" w:rsidP="00420657">
      <w:pPr>
        <w:pStyle w:val="Paragraphedeliste"/>
        <w:numPr>
          <w:ilvl w:val="0"/>
          <w:numId w:val="30"/>
        </w:numPr>
        <w:jc w:val="both"/>
        <w:rPr>
          <w:color w:val="000000"/>
        </w:rPr>
      </w:pPr>
      <w:proofErr w:type="gramStart"/>
      <w:r w:rsidRPr="00846288">
        <w:rPr>
          <w:color w:val="000000"/>
        </w:rPr>
        <w:t>un</w:t>
      </w:r>
      <w:proofErr w:type="gramEnd"/>
      <w:r w:rsidRPr="00846288">
        <w:rPr>
          <w:color w:val="000000"/>
        </w:rPr>
        <w:t xml:space="preserve"> document de référencement des mesures de prévention des risques professionnels,</w:t>
      </w:r>
    </w:p>
    <w:p w14:paraId="2CFC080F" w14:textId="77777777" w:rsidR="00420657" w:rsidRPr="00846288" w:rsidRDefault="00420657" w:rsidP="00420657">
      <w:pPr>
        <w:pStyle w:val="Paragraphedeliste"/>
        <w:numPr>
          <w:ilvl w:val="0"/>
          <w:numId w:val="30"/>
        </w:numPr>
        <w:jc w:val="both"/>
        <w:rPr>
          <w:color w:val="000000"/>
        </w:rPr>
      </w:pPr>
      <w:proofErr w:type="gramStart"/>
      <w:r w:rsidRPr="00846288">
        <w:rPr>
          <w:color w:val="000000"/>
        </w:rPr>
        <w:t>une</w:t>
      </w:r>
      <w:proofErr w:type="gramEnd"/>
      <w:r w:rsidRPr="00846288">
        <w:rPr>
          <w:color w:val="000000"/>
        </w:rPr>
        <w:t xml:space="preserve"> synthèse de la politique mise en place par la collectivité en la matière,</w:t>
      </w:r>
    </w:p>
    <w:p w14:paraId="5BCE01D0" w14:textId="77777777" w:rsidR="00420657" w:rsidRPr="00846288" w:rsidRDefault="00420657" w:rsidP="00420657">
      <w:pPr>
        <w:pStyle w:val="Paragraphedeliste"/>
        <w:numPr>
          <w:ilvl w:val="0"/>
          <w:numId w:val="30"/>
        </w:numPr>
        <w:jc w:val="both"/>
        <w:rPr>
          <w:color w:val="000000"/>
        </w:rPr>
      </w:pPr>
      <w:proofErr w:type="gramStart"/>
      <w:r w:rsidRPr="00846288">
        <w:rPr>
          <w:color w:val="000000"/>
        </w:rPr>
        <w:t>un</w:t>
      </w:r>
      <w:proofErr w:type="gramEnd"/>
      <w:r w:rsidRPr="00846288">
        <w:rPr>
          <w:color w:val="000000"/>
        </w:rPr>
        <w:t xml:space="preserve"> outil de suivi dans le temps des chiffres de l’accidentologie,</w:t>
      </w:r>
    </w:p>
    <w:p w14:paraId="092864A7" w14:textId="77777777" w:rsidR="00420657" w:rsidRPr="00846288" w:rsidRDefault="00420657" w:rsidP="00420657">
      <w:pPr>
        <w:pStyle w:val="Paragraphedeliste"/>
        <w:numPr>
          <w:ilvl w:val="0"/>
          <w:numId w:val="30"/>
        </w:numPr>
        <w:jc w:val="both"/>
        <w:rPr>
          <w:color w:val="000000"/>
        </w:rPr>
      </w:pPr>
      <w:proofErr w:type="gramStart"/>
      <w:r w:rsidRPr="00846288">
        <w:rPr>
          <w:color w:val="000000"/>
        </w:rPr>
        <w:t>un</w:t>
      </w:r>
      <w:proofErr w:type="gramEnd"/>
      <w:r w:rsidRPr="00846288">
        <w:rPr>
          <w:color w:val="000000"/>
        </w:rPr>
        <w:t xml:space="preserve"> document permettant l’évaluation des mesures mises en place par la collectivité.</w:t>
      </w:r>
    </w:p>
    <w:p w14:paraId="6DAA1735" w14:textId="77777777" w:rsidR="00420657" w:rsidRPr="00846288" w:rsidRDefault="00420657" w:rsidP="00420657">
      <w:pPr>
        <w:jc w:val="both"/>
        <w:rPr>
          <w:b/>
          <w:color w:val="00B0F0"/>
        </w:rPr>
      </w:pPr>
    </w:p>
    <w:p w14:paraId="31494377" w14:textId="77777777" w:rsidR="00420657" w:rsidRPr="00846288" w:rsidRDefault="00420657" w:rsidP="00420657">
      <w:pPr>
        <w:jc w:val="both"/>
        <w:rPr>
          <w:b/>
          <w:color w:val="00B0F0"/>
        </w:rPr>
      </w:pPr>
      <w:r w:rsidRPr="00846288">
        <w:rPr>
          <w:b/>
          <w:color w:val="00B0F0"/>
        </w:rPr>
        <w:t>Pourquoi importer les données de l’assurance statutaire ?</w:t>
      </w:r>
    </w:p>
    <w:p w14:paraId="62AE05C5" w14:textId="78CDAB58" w:rsidR="00420657" w:rsidRPr="00846288" w:rsidRDefault="00420657" w:rsidP="00420657">
      <w:pPr>
        <w:jc w:val="both"/>
      </w:pPr>
      <w:r w:rsidRPr="00846288">
        <w:t>Il est possible d’alimenter l’enquête RASSCT avec les données contenues dans le fichier fourni par la SOFAXIS pour les collectivités adhérent</w:t>
      </w:r>
      <w:r w:rsidR="00EF344A">
        <w:t>es</w:t>
      </w:r>
      <w:r w:rsidRPr="00846288">
        <w:t xml:space="preserve"> à cet assureur statutaire. Ce fichier d’échange permet de pré-saisir les données relatives aux accidents du travail et aux maladies professionnelles sur l’application « Données Sociales », autant pour le module RASSCT que pour le RSU. Cela permet aux agents en charge de la saisie de gagner du temps et d’éviter des erreurs de saisie.</w:t>
      </w:r>
    </w:p>
    <w:p w14:paraId="492032BA" w14:textId="77777777" w:rsidR="00420657" w:rsidRPr="00846288" w:rsidRDefault="00420657" w:rsidP="00420657">
      <w:pPr>
        <w:jc w:val="both"/>
        <w:rPr>
          <w:b/>
          <w:color w:val="00B0F0"/>
        </w:rPr>
      </w:pPr>
    </w:p>
    <w:p w14:paraId="7346F371" w14:textId="77777777" w:rsidR="00420657" w:rsidRPr="00846288" w:rsidRDefault="00420657" w:rsidP="00420657">
      <w:pPr>
        <w:jc w:val="both"/>
        <w:rPr>
          <w:b/>
          <w:color w:val="00B0F0"/>
        </w:rPr>
      </w:pPr>
      <w:r w:rsidRPr="00846288">
        <w:rPr>
          <w:b/>
          <w:color w:val="00B0F0"/>
        </w:rPr>
        <w:t>Qu’est-ce qu’un diagnostic RPS ?</w:t>
      </w:r>
    </w:p>
    <w:p w14:paraId="03F62925" w14:textId="77777777" w:rsidR="00420657" w:rsidRPr="00846288" w:rsidRDefault="00420657" w:rsidP="00420657">
      <w:pPr>
        <w:jc w:val="both"/>
      </w:pPr>
      <w:r w:rsidRPr="00846288">
        <w:t>Selon l’OMS, les risques psychosociaux (RPS) sont des risques pour la santé physique, mentale et sociale provoqués par une exposition à des facteurs relationnels et organisationnels et des conditions d'emploi pouvant avoir des effets néfastes sur le fonctionnement mental, physique et social d'un employé.</w:t>
      </w:r>
    </w:p>
    <w:p w14:paraId="159523EC" w14:textId="77777777" w:rsidR="00420657" w:rsidRPr="00846288" w:rsidRDefault="00420657" w:rsidP="00420657">
      <w:pPr>
        <w:jc w:val="both"/>
      </w:pPr>
      <w:r w:rsidRPr="00846288">
        <w:t>Un diagnostic RPS est une démarche par laquelle une collectivité va viser les objectifs suivants :</w:t>
      </w:r>
    </w:p>
    <w:p w14:paraId="158FC00C" w14:textId="77777777" w:rsidR="00420657" w:rsidRPr="00846288" w:rsidRDefault="00420657" w:rsidP="00420657">
      <w:pPr>
        <w:pStyle w:val="Paragraphedeliste"/>
        <w:numPr>
          <w:ilvl w:val="0"/>
          <w:numId w:val="31"/>
        </w:numPr>
        <w:jc w:val="both"/>
      </w:pPr>
      <w:r w:rsidRPr="00846288">
        <w:t>Repérer et analyser les risques psychosociaux propres à sa structure.</w:t>
      </w:r>
    </w:p>
    <w:p w14:paraId="46C73F63" w14:textId="77777777" w:rsidR="00420657" w:rsidRPr="00846288" w:rsidRDefault="00420657" w:rsidP="00420657">
      <w:pPr>
        <w:pStyle w:val="Paragraphedeliste"/>
        <w:numPr>
          <w:ilvl w:val="0"/>
          <w:numId w:val="31"/>
        </w:numPr>
        <w:jc w:val="both"/>
      </w:pPr>
      <w:r w:rsidRPr="00846288">
        <w:t>Établir un plan d’actions adapté ayant pour but de prévenir les risques repérés.</w:t>
      </w:r>
    </w:p>
    <w:p w14:paraId="64D78730" w14:textId="77777777" w:rsidR="00420657" w:rsidRPr="00846288" w:rsidRDefault="00420657" w:rsidP="00420657">
      <w:pPr>
        <w:jc w:val="both"/>
      </w:pPr>
      <w:r w:rsidRPr="00846288">
        <w:t>Généralement, un diagnostic RPS est réalisé avec l’aide de professionnels de la santé au travail. Certains centres de gestion proposent à leurs collectivités des prestations de diagnostic RPS.</w:t>
      </w:r>
    </w:p>
    <w:p w14:paraId="3B6A2E8E" w14:textId="77777777" w:rsidR="00420657" w:rsidRPr="00846288" w:rsidRDefault="00420657" w:rsidP="00420657">
      <w:pPr>
        <w:jc w:val="both"/>
      </w:pPr>
      <w:r w:rsidRPr="00846288">
        <w:t>L’intégration des RPS au DUERP permet aux employeurs territoriaux de remplir leur obligation légale d’évaluer les risques professionnels propres à leurs structures. Cette intégration leur permet également de remplir leurs devoirs concernant les obligations de moyen pour la prévention et la préservation de la santé mentale et physique des agents.</w:t>
      </w:r>
    </w:p>
    <w:p w14:paraId="7388C98F" w14:textId="6CBBCC14" w:rsidR="00420657" w:rsidRDefault="00420657" w:rsidP="00420657">
      <w:pPr>
        <w:jc w:val="both"/>
        <w:rPr>
          <w:color w:val="000000"/>
        </w:rPr>
      </w:pPr>
    </w:p>
    <w:p w14:paraId="7B9119D1" w14:textId="77777777" w:rsidR="00A16F77" w:rsidRPr="00846288" w:rsidRDefault="00A16F77" w:rsidP="00420657">
      <w:pPr>
        <w:jc w:val="both"/>
        <w:rPr>
          <w:color w:val="000000"/>
        </w:rPr>
      </w:pPr>
    </w:p>
    <w:p w14:paraId="61A97A31" w14:textId="77777777" w:rsidR="00420657" w:rsidRPr="00846288" w:rsidRDefault="00420657" w:rsidP="00420657">
      <w:pPr>
        <w:jc w:val="both"/>
        <w:rPr>
          <w:b/>
          <w:color w:val="00B0F0"/>
        </w:rPr>
      </w:pPr>
      <w:r w:rsidRPr="00846288">
        <w:rPr>
          <w:b/>
          <w:color w:val="00B0F0"/>
        </w:rPr>
        <w:t>Qu’est-ce qu’un Agent Chargé de la Fonction d’Inspection (ACFI) ?</w:t>
      </w:r>
    </w:p>
    <w:p w14:paraId="3DC1A4C2" w14:textId="77777777" w:rsidR="00420657" w:rsidRPr="00846288" w:rsidRDefault="00420657" w:rsidP="00420657">
      <w:pPr>
        <w:jc w:val="both"/>
      </w:pPr>
      <w:r w:rsidRPr="00846288">
        <w:t xml:space="preserve">L’ACFI est un agent dont la mission dans la collectivité consiste à contrôler l’application des dispositions du code du travail s’appliquant à la fonction publique territoriale (livres I à V de la partie IV du code du travail), sous réserve des dispositions du décret n°85-603 du 10 juin 1985 modifié. Cet </w:t>
      </w:r>
      <w:r w:rsidRPr="00846288">
        <w:lastRenderedPageBreak/>
        <w:t>agent apporte son expertise à l’autorité territoriale et au CHSCT en matière de prévention des risques professionnels et d’hygiène et de sécurité au travail. Il est nommé par l’autorité territoriale après avis du CHSCT.</w:t>
      </w:r>
    </w:p>
    <w:p w14:paraId="48DA8316" w14:textId="053353F8" w:rsidR="00420657" w:rsidRPr="00846288" w:rsidRDefault="00420657" w:rsidP="00420657">
      <w:pPr>
        <w:jc w:val="both"/>
      </w:pPr>
      <w:r w:rsidRPr="00846288">
        <w:t>Le décret n°85-603 du 10 juin 1985 modifié dispose dans son article 5 que les collectivités doivent désigner un ou des ACFI. Cette mission peut être assurée par le Centre de Gestion dont relève la collectivité qui en ferait la demande (Articles L452-44 et L812-2 du CGFP).</w:t>
      </w:r>
    </w:p>
    <w:p w14:paraId="01E3D051" w14:textId="77777777" w:rsidR="00420657" w:rsidRPr="00846288" w:rsidRDefault="00420657" w:rsidP="00420657">
      <w:pPr>
        <w:jc w:val="both"/>
      </w:pPr>
      <w:r w:rsidRPr="00846288">
        <w:t>Pour un agent, l’exercice de la fonction d’ACFI est incompatible avec celles d’assistant de prévention ou de conseiller de prévention. De plus, dans l'hypothèse où l'ACFI est désigné parmi les agents de la collectivité, il doit être assuré de pouvoir agir en toute indépendance.</w:t>
      </w:r>
    </w:p>
    <w:p w14:paraId="1BBB676E" w14:textId="77777777" w:rsidR="00420657" w:rsidRPr="00846288" w:rsidRDefault="00420657" w:rsidP="00420657">
      <w:pPr>
        <w:jc w:val="both"/>
      </w:pPr>
    </w:p>
    <w:p w14:paraId="7F7B9CAF" w14:textId="77777777" w:rsidR="00420657" w:rsidRPr="00A333E0" w:rsidRDefault="00420657" w:rsidP="00420657">
      <w:pPr>
        <w:jc w:val="both"/>
        <w:rPr>
          <w:b/>
          <w:color w:val="00B0F0"/>
        </w:rPr>
      </w:pPr>
      <w:r w:rsidRPr="00846288">
        <w:rPr>
          <w:b/>
          <w:color w:val="00B0F0"/>
        </w:rPr>
        <w:t>Que recouvrent les autres mesures mises en place ?</w:t>
      </w:r>
    </w:p>
    <w:p w14:paraId="4436DF7C" w14:textId="77777777" w:rsidR="00420657" w:rsidRPr="00846288" w:rsidRDefault="00420657" w:rsidP="00420657">
      <w:pPr>
        <w:jc w:val="both"/>
      </w:pPr>
      <w:r w:rsidRPr="00846288">
        <w:t>Il s’agit de l’ensemble des mesures de nature à prévenir les risques en matière de santé et de sécurité au travail. Ces mesures se répartissent selon deux modalités : les mesures techniques et les mesures organisationnelles.</w:t>
      </w:r>
    </w:p>
    <w:p w14:paraId="08285FE8" w14:textId="77777777" w:rsidR="00420657" w:rsidRPr="00846288" w:rsidRDefault="00420657" w:rsidP="00420657">
      <w:pPr>
        <w:jc w:val="both"/>
      </w:pPr>
      <w:r w:rsidRPr="00846288">
        <w:t xml:space="preserve">En ce qui concerne les mesures techniques, peuvent être renseignés par exemple : </w:t>
      </w:r>
    </w:p>
    <w:p w14:paraId="0FF4022E" w14:textId="77777777" w:rsidR="00420657" w:rsidRPr="00846288" w:rsidRDefault="00420657" w:rsidP="00420657">
      <w:pPr>
        <w:pStyle w:val="Paragraphedeliste"/>
        <w:numPr>
          <w:ilvl w:val="0"/>
          <w:numId w:val="30"/>
        </w:numPr>
        <w:jc w:val="both"/>
      </w:pPr>
      <w:proofErr w:type="gramStart"/>
      <w:r w:rsidRPr="00846288">
        <w:t>les</w:t>
      </w:r>
      <w:proofErr w:type="gramEnd"/>
      <w:r w:rsidRPr="00846288">
        <w:t xml:space="preserve"> mesures visant la mise en conformité des bâtiments et des matériels, </w:t>
      </w:r>
    </w:p>
    <w:p w14:paraId="1F044959" w14:textId="77777777" w:rsidR="00420657" w:rsidRPr="00846288" w:rsidRDefault="00420657" w:rsidP="00420657">
      <w:pPr>
        <w:pStyle w:val="Paragraphedeliste"/>
        <w:numPr>
          <w:ilvl w:val="0"/>
          <w:numId w:val="30"/>
        </w:numPr>
        <w:jc w:val="both"/>
      </w:pPr>
      <w:proofErr w:type="gramStart"/>
      <w:r w:rsidRPr="00846288">
        <w:t>les</w:t>
      </w:r>
      <w:proofErr w:type="gramEnd"/>
      <w:r w:rsidRPr="00846288">
        <w:t xml:space="preserve"> mesures d’isolation phonique, thermique, organisation spatiale, …</w:t>
      </w:r>
    </w:p>
    <w:p w14:paraId="027E9C60" w14:textId="77777777" w:rsidR="00420657" w:rsidRPr="00846288" w:rsidRDefault="00420657" w:rsidP="00420657">
      <w:pPr>
        <w:pStyle w:val="Paragraphedeliste"/>
        <w:numPr>
          <w:ilvl w:val="0"/>
          <w:numId w:val="30"/>
        </w:numPr>
        <w:jc w:val="both"/>
      </w:pPr>
      <w:proofErr w:type="gramStart"/>
      <w:r w:rsidRPr="00846288">
        <w:t>l’achat</w:t>
      </w:r>
      <w:proofErr w:type="gramEnd"/>
      <w:r w:rsidRPr="00846288">
        <w:t xml:space="preserve"> de matériel léger afin d’alléger le port de charges, du matériel adapté diminuant les vibrations….</w:t>
      </w:r>
    </w:p>
    <w:p w14:paraId="4E41B576" w14:textId="77777777" w:rsidR="00420657" w:rsidRPr="00846288" w:rsidRDefault="00420657" w:rsidP="00420657">
      <w:pPr>
        <w:jc w:val="both"/>
      </w:pPr>
      <w:r w:rsidRPr="00846288">
        <w:t>En ce qui concerne les mesures organisationnelles, peuvent être indiquées :</w:t>
      </w:r>
    </w:p>
    <w:p w14:paraId="49DB5E9D" w14:textId="77777777" w:rsidR="00420657" w:rsidRPr="00846288" w:rsidRDefault="00420657" w:rsidP="00420657">
      <w:pPr>
        <w:pStyle w:val="Paragraphedeliste"/>
        <w:numPr>
          <w:ilvl w:val="0"/>
          <w:numId w:val="30"/>
        </w:numPr>
        <w:jc w:val="both"/>
      </w:pPr>
      <w:proofErr w:type="gramStart"/>
      <w:r w:rsidRPr="00846288">
        <w:t>la</w:t>
      </w:r>
      <w:proofErr w:type="gramEnd"/>
      <w:r w:rsidRPr="00846288">
        <w:t xml:space="preserve"> mise en place de procédures, de consignes,  de fiches techniques de sécurité…</w:t>
      </w:r>
    </w:p>
    <w:p w14:paraId="7FC98958" w14:textId="77777777" w:rsidR="00420657" w:rsidRPr="00846288" w:rsidRDefault="00420657" w:rsidP="00420657">
      <w:pPr>
        <w:pStyle w:val="Paragraphedeliste"/>
        <w:numPr>
          <w:ilvl w:val="0"/>
          <w:numId w:val="30"/>
        </w:numPr>
        <w:jc w:val="both"/>
      </w:pPr>
      <w:proofErr w:type="gramStart"/>
      <w:r w:rsidRPr="00846288">
        <w:t>la</w:t>
      </w:r>
      <w:proofErr w:type="gramEnd"/>
      <w:r w:rsidRPr="00846288">
        <w:t xml:space="preserve"> mise en place de systèmes de management de la sécurité</w:t>
      </w:r>
    </w:p>
    <w:p w14:paraId="71A6ECC7" w14:textId="77777777" w:rsidR="00420657" w:rsidRPr="00846288" w:rsidRDefault="00420657" w:rsidP="00420657">
      <w:pPr>
        <w:pStyle w:val="Paragraphedeliste"/>
        <w:numPr>
          <w:ilvl w:val="0"/>
          <w:numId w:val="30"/>
        </w:numPr>
        <w:jc w:val="both"/>
      </w:pPr>
      <w:proofErr w:type="gramStart"/>
      <w:r w:rsidRPr="00846288">
        <w:t>la</w:t>
      </w:r>
      <w:proofErr w:type="gramEnd"/>
      <w:r w:rsidRPr="00846288">
        <w:t xml:space="preserve"> réalisation de fiches de poste, d’un livret d’accueil sécurité</w:t>
      </w:r>
    </w:p>
    <w:p w14:paraId="2BD67938" w14:textId="77777777" w:rsidR="00420657" w:rsidRPr="00846288" w:rsidRDefault="00420657" w:rsidP="00420657">
      <w:pPr>
        <w:pStyle w:val="Paragraphedeliste"/>
        <w:numPr>
          <w:ilvl w:val="0"/>
          <w:numId w:val="30"/>
        </w:numPr>
        <w:jc w:val="both"/>
      </w:pPr>
      <w:proofErr w:type="gramStart"/>
      <w:r w:rsidRPr="00846288">
        <w:t>la</w:t>
      </w:r>
      <w:proofErr w:type="gramEnd"/>
      <w:r w:rsidRPr="00846288">
        <w:t xml:space="preserve"> réalisation d’études ergonomiques, d’environnement de travail…</w:t>
      </w:r>
    </w:p>
    <w:p w14:paraId="5DF5149C" w14:textId="77777777" w:rsidR="00420657" w:rsidRPr="00846288" w:rsidRDefault="00420657" w:rsidP="00420657">
      <w:pPr>
        <w:pStyle w:val="Paragraphedeliste"/>
        <w:numPr>
          <w:ilvl w:val="0"/>
          <w:numId w:val="30"/>
        </w:numPr>
        <w:jc w:val="both"/>
      </w:pPr>
      <w:proofErr w:type="gramStart"/>
      <w:r w:rsidRPr="00846288">
        <w:t>la</w:t>
      </w:r>
      <w:proofErr w:type="gramEnd"/>
      <w:r w:rsidRPr="00846288">
        <w:t xml:space="preserve"> réalisation d’audits (chimique…)</w:t>
      </w:r>
    </w:p>
    <w:p w14:paraId="1E249883" w14:textId="77777777" w:rsidR="00420657" w:rsidRPr="00846288" w:rsidRDefault="00420657" w:rsidP="00420657">
      <w:pPr>
        <w:jc w:val="both"/>
      </w:pPr>
      <w:r w:rsidRPr="00846288">
        <w:t>L’indicateur nommé « Autres mesures mises en place : matériel, équipement, études, audit, conseil… » permet de saisir les mesures mises en place au cours de l’année 2021, tandis que l’indicateur nommé « Prédictions – Autres mesures mises en place : matériel, équipement, études, audit, conseil… » permet à la collectivité d’indiquer les démarches réalisées, en cours de réalisation ou prévues en 2022.</w:t>
      </w:r>
    </w:p>
    <w:p w14:paraId="5CFF8B85" w14:textId="77777777" w:rsidR="00336746" w:rsidRPr="00871369" w:rsidRDefault="00336746" w:rsidP="00BD228F">
      <w:pPr>
        <w:jc w:val="center"/>
      </w:pPr>
    </w:p>
    <w:sectPr w:rsidR="00336746" w:rsidRPr="00871369" w:rsidSect="008667B4">
      <w:headerReference w:type="default" r:id="rId17"/>
      <w:footerReference w:type="default" r:id="rId18"/>
      <w:pgSz w:w="11906" w:h="16838" w:code="9"/>
      <w:pgMar w:top="1134" w:right="1134" w:bottom="1134" w:left="1134" w:header="720" w:footer="485" w:gutter="0"/>
      <w:paperSrc w:first="11" w:other="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D00D" w14:textId="77777777" w:rsidR="00306EF1" w:rsidRDefault="00306EF1" w:rsidP="005D075A">
      <w:r>
        <w:separator/>
      </w:r>
    </w:p>
  </w:endnote>
  <w:endnote w:type="continuationSeparator" w:id="0">
    <w:p w14:paraId="1C97D509" w14:textId="77777777" w:rsidR="00306EF1" w:rsidRDefault="00306EF1" w:rsidP="005D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auxProOT-BoldItalic">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3616" w14:textId="77777777" w:rsidR="0054432E" w:rsidRDefault="0054432E">
    <w:pPr>
      <w:pStyle w:val="Pieddepage"/>
    </w:pPr>
    <w:r>
      <w:rPr>
        <w:noProof/>
      </w:rPr>
      <mc:AlternateContent>
        <mc:Choice Requires="wps">
          <w:drawing>
            <wp:anchor distT="0" distB="0" distL="114300" distR="114300" simplePos="0" relativeHeight="251657728" behindDoc="0" locked="0" layoutInCell="0" allowOverlap="1" wp14:anchorId="16336B04" wp14:editId="5BC6B3C1">
              <wp:simplePos x="0" y="0"/>
              <wp:positionH relativeFrom="rightMargin">
                <wp:align>left</wp:align>
              </wp:positionH>
              <wp:positionV relativeFrom="page">
                <wp:posOffset>10027920</wp:posOffset>
              </wp:positionV>
              <wp:extent cx="365760" cy="350520"/>
              <wp:effectExtent l="0" t="0" r="1524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50520"/>
                      </a:xfrm>
                      <a:prstGeom prst="foldedCorner">
                        <a:avLst>
                          <a:gd name="adj" fmla="val 34560"/>
                        </a:avLst>
                      </a:prstGeom>
                      <a:solidFill>
                        <a:srgbClr val="FFFFFF"/>
                      </a:solidFill>
                      <a:ln w="3175">
                        <a:solidFill>
                          <a:srgbClr val="808080"/>
                        </a:solidFill>
                        <a:round/>
                        <a:headEnd/>
                        <a:tailEnd/>
                      </a:ln>
                    </wps:spPr>
                    <wps:txbx>
                      <w:txbxContent>
                        <w:p w14:paraId="7F83EE32" w14:textId="77777777" w:rsidR="0054432E" w:rsidRDefault="0054432E">
                          <w:pPr>
                            <w:jc w:val="center"/>
                          </w:pPr>
                          <w:r>
                            <w:fldChar w:fldCharType="begin"/>
                          </w:r>
                          <w:r>
                            <w:instrText xml:space="preserve"> PAGE    \* MERGEFORMAT </w:instrText>
                          </w:r>
                          <w:r>
                            <w:fldChar w:fldCharType="separate"/>
                          </w:r>
                          <w:r w:rsidRPr="0075461A">
                            <w:rPr>
                              <w:noProof/>
                              <w:sz w:val="16"/>
                              <w:szCs w:val="16"/>
                            </w:rPr>
                            <w:t>21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36B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0;margin-top:789.6pt;width:28.8pt;height:27.6pt;z-index:251657728;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" o:allowincell="f" adj="14135" strokecolor="gray" strokeweight=".25pt">
              <v:textbox>
                <w:txbxContent>
                  <w:p w14:paraId="7F83EE32" w14:textId="77777777" w:rsidR="0054432E" w:rsidRDefault="0054432E">
                    <w:pPr>
                      <w:jc w:val="center"/>
                    </w:pPr>
                    <w:r>
                      <w:fldChar w:fldCharType="begin"/>
                    </w:r>
                    <w:r>
                      <w:instrText xml:space="preserve"> PAGE    \* MERGEFORMAT </w:instrText>
                    </w:r>
                    <w:r>
                      <w:fldChar w:fldCharType="separate"/>
                    </w:r>
                    <w:r w:rsidRPr="0075461A">
                      <w:rPr>
                        <w:noProof/>
                        <w:sz w:val="16"/>
                        <w:szCs w:val="16"/>
                      </w:rPr>
                      <w:t>21</w:t>
                    </w:r>
                    <w:r>
                      <w:rPr>
                        <w:noProof/>
                        <w:sz w:val="16"/>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8CB4" w14:textId="77777777" w:rsidR="00306EF1" w:rsidRDefault="00306EF1" w:rsidP="005D075A">
      <w:r>
        <w:separator/>
      </w:r>
    </w:p>
  </w:footnote>
  <w:footnote w:type="continuationSeparator" w:id="0">
    <w:p w14:paraId="71BA31C2" w14:textId="77777777" w:rsidR="00306EF1" w:rsidRDefault="00306EF1" w:rsidP="005D075A">
      <w:r>
        <w:continuationSeparator/>
      </w:r>
    </w:p>
  </w:footnote>
  <w:footnote w:id="1">
    <w:p w14:paraId="0D621EAD" w14:textId="77777777" w:rsidR="00E5593B" w:rsidRDefault="00E5593B" w:rsidP="00E5593B">
      <w:pPr>
        <w:pStyle w:val="Notedebasdepage"/>
      </w:pPr>
      <w:r>
        <w:rPr>
          <w:rStyle w:val="Appelnotedebasdep"/>
        </w:rPr>
        <w:footnoteRef/>
      </w:r>
      <w:r>
        <w:t xml:space="preserve"> Centre Hubertine Auclert, </w:t>
      </w:r>
      <w:r w:rsidRPr="00C62FFA">
        <w:rPr>
          <w:i/>
        </w:rPr>
        <w:t>Agir contre les violences sexistes et sexuelles au travail</w:t>
      </w:r>
      <w:r>
        <w:t>, Kit d’action pour les collectivités territoriales.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B520" w14:textId="39352F26" w:rsidR="0054432E" w:rsidRDefault="0054432E" w:rsidP="00343C4B">
    <w:pPr>
      <w:pStyle w:val="Pieddepage"/>
      <w:tabs>
        <w:tab w:val="clear" w:pos="4536"/>
        <w:tab w:val="clear" w:pos="9072"/>
        <w:tab w:val="center" w:pos="1701"/>
        <w:tab w:val="right" w:pos="9639"/>
      </w:tabs>
      <w:jc w:val="center"/>
    </w:pPr>
    <w:r>
      <w:rPr>
        <w:rFonts w:ascii="Palatino Linotype" w:hAnsi="Palatino Linotype"/>
        <w:b/>
        <w:color w:val="000000"/>
        <w:sz w:val="20"/>
      </w:rPr>
      <w:t>Foire aux questions rapport social unique 202</w:t>
    </w:r>
    <w:r w:rsidR="00635115">
      <w:rPr>
        <w:rFonts w:ascii="Palatino Linotype" w:hAnsi="Palatino Linotype"/>
        <w:b/>
        <w:color w:val="000000"/>
        <w:sz w:val="20"/>
      </w:rPr>
      <w:t>1</w:t>
    </w:r>
  </w:p>
  <w:p w14:paraId="358961D2" w14:textId="77777777" w:rsidR="0054432E" w:rsidRDefault="0054432E" w:rsidP="00FA41AE">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1A7"/>
    <w:multiLevelType w:val="hybridMultilevel"/>
    <w:tmpl w:val="1968179A"/>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F2058"/>
    <w:multiLevelType w:val="hybridMultilevel"/>
    <w:tmpl w:val="E7146966"/>
    <w:lvl w:ilvl="0" w:tplc="F438A15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C194C9B"/>
    <w:multiLevelType w:val="hybridMultilevel"/>
    <w:tmpl w:val="98C2C666"/>
    <w:lvl w:ilvl="0" w:tplc="C658D790">
      <w:numFmt w:val="bullet"/>
      <w:lvlText w:val="-"/>
      <w:lvlJc w:val="left"/>
      <w:pPr>
        <w:ind w:left="720" w:hanging="360"/>
      </w:pPr>
      <w:rPr>
        <w:rFonts w:ascii="Calibri" w:eastAsia="Times New Roman" w:hAnsi="Calibri" w:cs="Times New Roman" w:hint="default"/>
        <w:b w:val="0"/>
        <w:color w:val="000000"/>
      </w:rPr>
    </w:lvl>
    <w:lvl w:ilvl="1" w:tplc="EA7C45D8">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7353C"/>
    <w:multiLevelType w:val="hybridMultilevel"/>
    <w:tmpl w:val="0298F418"/>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792A62"/>
    <w:multiLevelType w:val="hybridMultilevel"/>
    <w:tmpl w:val="35765F18"/>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06E2D"/>
    <w:multiLevelType w:val="hybridMultilevel"/>
    <w:tmpl w:val="07049288"/>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AE1804"/>
    <w:multiLevelType w:val="hybridMultilevel"/>
    <w:tmpl w:val="0FA23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509EA"/>
    <w:multiLevelType w:val="hybridMultilevel"/>
    <w:tmpl w:val="75F2642A"/>
    <w:lvl w:ilvl="0" w:tplc="F26CBAF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CC6D87"/>
    <w:multiLevelType w:val="hybridMultilevel"/>
    <w:tmpl w:val="50C04B6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F425607"/>
    <w:multiLevelType w:val="hybridMultilevel"/>
    <w:tmpl w:val="3C0C0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0E6571"/>
    <w:multiLevelType w:val="hybridMultilevel"/>
    <w:tmpl w:val="E430B69E"/>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361D45"/>
    <w:multiLevelType w:val="hybridMultilevel"/>
    <w:tmpl w:val="B980DB64"/>
    <w:lvl w:ilvl="0" w:tplc="C658D790">
      <w:numFmt w:val="bullet"/>
      <w:lvlText w:val="-"/>
      <w:lvlJc w:val="left"/>
      <w:pPr>
        <w:ind w:left="1440" w:hanging="360"/>
      </w:pPr>
      <w:rPr>
        <w:rFonts w:ascii="Calibri" w:eastAsia="Times New Roman" w:hAnsi="Calibri" w:cs="Times New Roman" w:hint="default"/>
        <w:b w:val="0"/>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847D40"/>
    <w:multiLevelType w:val="hybridMultilevel"/>
    <w:tmpl w:val="99DE6114"/>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8F2726"/>
    <w:multiLevelType w:val="hybridMultilevel"/>
    <w:tmpl w:val="21228534"/>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54091"/>
    <w:multiLevelType w:val="hybridMultilevel"/>
    <w:tmpl w:val="78F60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E966F7"/>
    <w:multiLevelType w:val="hybridMultilevel"/>
    <w:tmpl w:val="ECD2E50A"/>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B961D7"/>
    <w:multiLevelType w:val="hybridMultilevel"/>
    <w:tmpl w:val="88E2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0920FE"/>
    <w:multiLevelType w:val="hybridMultilevel"/>
    <w:tmpl w:val="E9A03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0B59E6"/>
    <w:multiLevelType w:val="hybridMultilevel"/>
    <w:tmpl w:val="33C0DEBA"/>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5B3833"/>
    <w:multiLevelType w:val="hybridMultilevel"/>
    <w:tmpl w:val="3E12C630"/>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4F3C70"/>
    <w:multiLevelType w:val="hybridMultilevel"/>
    <w:tmpl w:val="8BFE2DE8"/>
    <w:lvl w:ilvl="0" w:tplc="C658D790">
      <w:numFmt w:val="bullet"/>
      <w:lvlText w:val="-"/>
      <w:lvlJc w:val="left"/>
      <w:pPr>
        <w:ind w:left="720" w:hanging="360"/>
      </w:pPr>
      <w:rPr>
        <w:rFonts w:ascii="Calibri" w:eastAsia="Times New Roman" w:hAnsi="Calibri"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4A711C"/>
    <w:multiLevelType w:val="hybridMultilevel"/>
    <w:tmpl w:val="4620C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FD5FFF"/>
    <w:multiLevelType w:val="hybridMultilevel"/>
    <w:tmpl w:val="190E7F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AE161B"/>
    <w:multiLevelType w:val="hybridMultilevel"/>
    <w:tmpl w:val="CE60E69A"/>
    <w:lvl w:ilvl="0" w:tplc="41B64C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853DFB"/>
    <w:multiLevelType w:val="hybridMultilevel"/>
    <w:tmpl w:val="04B26F40"/>
    <w:lvl w:ilvl="0" w:tplc="C658D790">
      <w:numFmt w:val="bullet"/>
      <w:lvlText w:val="-"/>
      <w:lvlJc w:val="left"/>
      <w:pPr>
        <w:ind w:left="720" w:hanging="360"/>
      </w:pPr>
      <w:rPr>
        <w:rFonts w:ascii="Calibri" w:eastAsia="Times New Roman" w:hAnsi="Calibri" w:cs="Times New Roman" w:hint="default"/>
        <w:b w:val="0"/>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0B6D7A"/>
    <w:multiLevelType w:val="hybridMultilevel"/>
    <w:tmpl w:val="A0185578"/>
    <w:lvl w:ilvl="0" w:tplc="C658D790">
      <w:numFmt w:val="bullet"/>
      <w:lvlText w:val="-"/>
      <w:lvlJc w:val="left"/>
      <w:pPr>
        <w:ind w:left="720" w:hanging="360"/>
      </w:pPr>
      <w:rPr>
        <w:rFonts w:ascii="Calibri" w:eastAsia="Times New Roman" w:hAnsi="Calibri" w:cs="Times New Roman" w:hint="default"/>
        <w:b w:val="0"/>
        <w:color w:val="000000"/>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257A18"/>
    <w:multiLevelType w:val="hybridMultilevel"/>
    <w:tmpl w:val="64F216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680EF6"/>
    <w:multiLevelType w:val="hybridMultilevel"/>
    <w:tmpl w:val="E9782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C20935"/>
    <w:multiLevelType w:val="hybridMultilevel"/>
    <w:tmpl w:val="3D38E1DA"/>
    <w:lvl w:ilvl="0" w:tplc="D05E5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C23F5F"/>
    <w:multiLevelType w:val="hybridMultilevel"/>
    <w:tmpl w:val="C4048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127647"/>
    <w:multiLevelType w:val="multilevel"/>
    <w:tmpl w:val="B1D6EC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26A3A"/>
    <w:multiLevelType w:val="hybridMultilevel"/>
    <w:tmpl w:val="2142684C"/>
    <w:lvl w:ilvl="0" w:tplc="2E9A1C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BA302B"/>
    <w:multiLevelType w:val="hybridMultilevel"/>
    <w:tmpl w:val="94AC0076"/>
    <w:lvl w:ilvl="0" w:tplc="040C0001">
      <w:start w:val="1"/>
      <w:numFmt w:val="bullet"/>
      <w:lvlText w:val=""/>
      <w:lvlJc w:val="left"/>
      <w:pPr>
        <w:ind w:left="1776" w:hanging="360"/>
      </w:pPr>
      <w:rPr>
        <w:rFonts w:ascii="Symbol" w:hAnsi="Symbol" w:hint="default"/>
        <w:b w:val="0"/>
        <w:color w:val="000000"/>
      </w:rPr>
    </w:lvl>
    <w:lvl w:ilvl="1" w:tplc="FFFFFFFF">
      <w:start w:val="1"/>
      <w:numFmt w:val="bullet"/>
      <w:lvlText w:val=""/>
      <w:lvlJc w:val="left"/>
      <w:pPr>
        <w:ind w:left="2496" w:hanging="360"/>
      </w:pPr>
      <w:rPr>
        <w:rFonts w:ascii="Wingdings" w:hAnsi="Wingdings"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6F1D694E"/>
    <w:multiLevelType w:val="hybridMultilevel"/>
    <w:tmpl w:val="29E80B3C"/>
    <w:lvl w:ilvl="0" w:tplc="4C8A9EDE">
      <w:start w:val="1"/>
      <w:numFmt w:val="bullet"/>
      <w:lvlText w:val="•"/>
      <w:lvlJc w:val="left"/>
      <w:pPr>
        <w:tabs>
          <w:tab w:val="num" w:pos="720"/>
        </w:tabs>
        <w:ind w:left="720" w:hanging="360"/>
      </w:pPr>
      <w:rPr>
        <w:rFonts w:ascii="Times New Roman" w:hAnsi="Times New Roman" w:hint="default"/>
      </w:rPr>
    </w:lvl>
    <w:lvl w:ilvl="1" w:tplc="16FE88A6" w:tentative="1">
      <w:start w:val="1"/>
      <w:numFmt w:val="bullet"/>
      <w:lvlText w:val="•"/>
      <w:lvlJc w:val="left"/>
      <w:pPr>
        <w:tabs>
          <w:tab w:val="num" w:pos="1440"/>
        </w:tabs>
        <w:ind w:left="1440" w:hanging="360"/>
      </w:pPr>
      <w:rPr>
        <w:rFonts w:ascii="Times New Roman" w:hAnsi="Times New Roman" w:hint="default"/>
      </w:rPr>
    </w:lvl>
    <w:lvl w:ilvl="2" w:tplc="B74A0062" w:tentative="1">
      <w:start w:val="1"/>
      <w:numFmt w:val="bullet"/>
      <w:lvlText w:val="•"/>
      <w:lvlJc w:val="left"/>
      <w:pPr>
        <w:tabs>
          <w:tab w:val="num" w:pos="2160"/>
        </w:tabs>
        <w:ind w:left="2160" w:hanging="360"/>
      </w:pPr>
      <w:rPr>
        <w:rFonts w:ascii="Times New Roman" w:hAnsi="Times New Roman" w:hint="default"/>
      </w:rPr>
    </w:lvl>
    <w:lvl w:ilvl="3" w:tplc="024204D0" w:tentative="1">
      <w:start w:val="1"/>
      <w:numFmt w:val="bullet"/>
      <w:lvlText w:val="•"/>
      <w:lvlJc w:val="left"/>
      <w:pPr>
        <w:tabs>
          <w:tab w:val="num" w:pos="2880"/>
        </w:tabs>
        <w:ind w:left="2880" w:hanging="360"/>
      </w:pPr>
      <w:rPr>
        <w:rFonts w:ascii="Times New Roman" w:hAnsi="Times New Roman" w:hint="default"/>
      </w:rPr>
    </w:lvl>
    <w:lvl w:ilvl="4" w:tplc="0F7A3CF6" w:tentative="1">
      <w:start w:val="1"/>
      <w:numFmt w:val="bullet"/>
      <w:lvlText w:val="•"/>
      <w:lvlJc w:val="left"/>
      <w:pPr>
        <w:tabs>
          <w:tab w:val="num" w:pos="3600"/>
        </w:tabs>
        <w:ind w:left="3600" w:hanging="360"/>
      </w:pPr>
      <w:rPr>
        <w:rFonts w:ascii="Times New Roman" w:hAnsi="Times New Roman" w:hint="default"/>
      </w:rPr>
    </w:lvl>
    <w:lvl w:ilvl="5" w:tplc="09FA0302" w:tentative="1">
      <w:start w:val="1"/>
      <w:numFmt w:val="bullet"/>
      <w:lvlText w:val="•"/>
      <w:lvlJc w:val="left"/>
      <w:pPr>
        <w:tabs>
          <w:tab w:val="num" w:pos="4320"/>
        </w:tabs>
        <w:ind w:left="4320" w:hanging="360"/>
      </w:pPr>
      <w:rPr>
        <w:rFonts w:ascii="Times New Roman" w:hAnsi="Times New Roman" w:hint="default"/>
      </w:rPr>
    </w:lvl>
    <w:lvl w:ilvl="6" w:tplc="C8203084" w:tentative="1">
      <w:start w:val="1"/>
      <w:numFmt w:val="bullet"/>
      <w:lvlText w:val="•"/>
      <w:lvlJc w:val="left"/>
      <w:pPr>
        <w:tabs>
          <w:tab w:val="num" w:pos="5040"/>
        </w:tabs>
        <w:ind w:left="5040" w:hanging="360"/>
      </w:pPr>
      <w:rPr>
        <w:rFonts w:ascii="Times New Roman" w:hAnsi="Times New Roman" w:hint="default"/>
      </w:rPr>
    </w:lvl>
    <w:lvl w:ilvl="7" w:tplc="C5E206D0" w:tentative="1">
      <w:start w:val="1"/>
      <w:numFmt w:val="bullet"/>
      <w:lvlText w:val="•"/>
      <w:lvlJc w:val="left"/>
      <w:pPr>
        <w:tabs>
          <w:tab w:val="num" w:pos="5760"/>
        </w:tabs>
        <w:ind w:left="5760" w:hanging="360"/>
      </w:pPr>
      <w:rPr>
        <w:rFonts w:ascii="Times New Roman" w:hAnsi="Times New Roman" w:hint="default"/>
      </w:rPr>
    </w:lvl>
    <w:lvl w:ilvl="8" w:tplc="9B6048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991C1C"/>
    <w:multiLevelType w:val="hybridMultilevel"/>
    <w:tmpl w:val="08342C82"/>
    <w:lvl w:ilvl="0" w:tplc="BF803962">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7F262DCB"/>
    <w:multiLevelType w:val="hybridMultilevel"/>
    <w:tmpl w:val="48347D40"/>
    <w:lvl w:ilvl="0" w:tplc="C658D790">
      <w:numFmt w:val="bullet"/>
      <w:lvlText w:val="-"/>
      <w:lvlJc w:val="left"/>
      <w:pPr>
        <w:ind w:left="720" w:hanging="360"/>
      </w:pPr>
      <w:rPr>
        <w:rFonts w:ascii="Calibri" w:eastAsia="Times New Roman" w:hAnsi="Calibri" w:cs="Times New Roman" w:hint="default"/>
        <w:b w:val="0"/>
        <w:color w:val="000000"/>
      </w:rPr>
    </w:lvl>
    <w:lvl w:ilvl="1" w:tplc="890C3BEA">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3113828">
    <w:abstractNumId w:val="19"/>
  </w:num>
  <w:num w:numId="2" w16cid:durableId="756364121">
    <w:abstractNumId w:val="10"/>
  </w:num>
  <w:num w:numId="3" w16cid:durableId="1723483961">
    <w:abstractNumId w:val="13"/>
  </w:num>
  <w:num w:numId="4" w16cid:durableId="629868922">
    <w:abstractNumId w:val="24"/>
  </w:num>
  <w:num w:numId="5" w16cid:durableId="1827891360">
    <w:abstractNumId w:val="35"/>
  </w:num>
  <w:num w:numId="6" w16cid:durableId="178860564">
    <w:abstractNumId w:val="11"/>
  </w:num>
  <w:num w:numId="7" w16cid:durableId="1012301671">
    <w:abstractNumId w:val="15"/>
  </w:num>
  <w:num w:numId="8" w16cid:durableId="791440379">
    <w:abstractNumId w:val="2"/>
  </w:num>
  <w:num w:numId="9" w16cid:durableId="1131706671">
    <w:abstractNumId w:val="18"/>
  </w:num>
  <w:num w:numId="10" w16cid:durableId="711000333">
    <w:abstractNumId w:val="0"/>
  </w:num>
  <w:num w:numId="11" w16cid:durableId="522937377">
    <w:abstractNumId w:val="4"/>
  </w:num>
  <w:num w:numId="12" w16cid:durableId="1864442649">
    <w:abstractNumId w:val="34"/>
  </w:num>
  <w:num w:numId="13" w16cid:durableId="2011566078">
    <w:abstractNumId w:val="22"/>
  </w:num>
  <w:num w:numId="14" w16cid:durableId="357774403">
    <w:abstractNumId w:val="17"/>
  </w:num>
  <w:num w:numId="15" w16cid:durableId="142896360">
    <w:abstractNumId w:val="26"/>
  </w:num>
  <w:num w:numId="16" w16cid:durableId="83577330">
    <w:abstractNumId w:val="25"/>
  </w:num>
  <w:num w:numId="17" w16cid:durableId="977882854">
    <w:abstractNumId w:val="20"/>
  </w:num>
  <w:num w:numId="18" w16cid:durableId="1387294228">
    <w:abstractNumId w:val="9"/>
  </w:num>
  <w:num w:numId="19" w16cid:durableId="159658248">
    <w:abstractNumId w:val="14"/>
  </w:num>
  <w:num w:numId="20" w16cid:durableId="578711543">
    <w:abstractNumId w:val="21"/>
  </w:num>
  <w:num w:numId="21" w16cid:durableId="449132066">
    <w:abstractNumId w:val="29"/>
  </w:num>
  <w:num w:numId="22" w16cid:durableId="58721324">
    <w:abstractNumId w:val="6"/>
  </w:num>
  <w:num w:numId="23" w16cid:durableId="1378043159">
    <w:abstractNumId w:val="3"/>
  </w:num>
  <w:num w:numId="24" w16cid:durableId="495612021">
    <w:abstractNumId w:val="12"/>
  </w:num>
  <w:num w:numId="25" w16cid:durableId="850219618">
    <w:abstractNumId w:val="1"/>
  </w:num>
  <w:num w:numId="26" w16cid:durableId="1384133190">
    <w:abstractNumId w:val="31"/>
  </w:num>
  <w:num w:numId="27" w16cid:durableId="1449735984">
    <w:abstractNumId w:val="23"/>
  </w:num>
  <w:num w:numId="28" w16cid:durableId="1589121166">
    <w:abstractNumId w:val="28"/>
  </w:num>
  <w:num w:numId="29" w16cid:durableId="939334997">
    <w:abstractNumId w:val="5"/>
  </w:num>
  <w:num w:numId="30" w16cid:durableId="320894100">
    <w:abstractNumId w:val="7"/>
  </w:num>
  <w:num w:numId="31" w16cid:durableId="320886123">
    <w:abstractNumId w:val="27"/>
  </w:num>
  <w:num w:numId="32" w16cid:durableId="349769045">
    <w:abstractNumId w:val="33"/>
  </w:num>
  <w:num w:numId="33" w16cid:durableId="802041262">
    <w:abstractNumId w:val="8"/>
  </w:num>
  <w:num w:numId="34" w16cid:durableId="223949775">
    <w:abstractNumId w:val="32"/>
  </w:num>
  <w:num w:numId="35" w16cid:durableId="40130733">
    <w:abstractNumId w:val="16"/>
  </w:num>
  <w:num w:numId="36" w16cid:durableId="208634095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87"/>
    <w:rsid w:val="00000026"/>
    <w:rsid w:val="00001937"/>
    <w:rsid w:val="00001B5D"/>
    <w:rsid w:val="00002CE9"/>
    <w:rsid w:val="00003331"/>
    <w:rsid w:val="000044F2"/>
    <w:rsid w:val="00004C40"/>
    <w:rsid w:val="00005402"/>
    <w:rsid w:val="00006CF1"/>
    <w:rsid w:val="00006F62"/>
    <w:rsid w:val="00007408"/>
    <w:rsid w:val="00007A16"/>
    <w:rsid w:val="00007DD7"/>
    <w:rsid w:val="000118BA"/>
    <w:rsid w:val="000128E1"/>
    <w:rsid w:val="00012C65"/>
    <w:rsid w:val="00012D88"/>
    <w:rsid w:val="0001307C"/>
    <w:rsid w:val="000130C6"/>
    <w:rsid w:val="0001407C"/>
    <w:rsid w:val="00014E9B"/>
    <w:rsid w:val="000173CC"/>
    <w:rsid w:val="0001756E"/>
    <w:rsid w:val="000201B7"/>
    <w:rsid w:val="00021213"/>
    <w:rsid w:val="00023E41"/>
    <w:rsid w:val="00024358"/>
    <w:rsid w:val="000268EC"/>
    <w:rsid w:val="00027EDE"/>
    <w:rsid w:val="0003075E"/>
    <w:rsid w:val="0003081D"/>
    <w:rsid w:val="00030ACE"/>
    <w:rsid w:val="000319EC"/>
    <w:rsid w:val="000319F5"/>
    <w:rsid w:val="00033E10"/>
    <w:rsid w:val="000346E0"/>
    <w:rsid w:val="00035C52"/>
    <w:rsid w:val="00035E9E"/>
    <w:rsid w:val="0004130C"/>
    <w:rsid w:val="0004196A"/>
    <w:rsid w:val="00044DA9"/>
    <w:rsid w:val="00047E1C"/>
    <w:rsid w:val="00051307"/>
    <w:rsid w:val="0005290C"/>
    <w:rsid w:val="00052E59"/>
    <w:rsid w:val="000533DA"/>
    <w:rsid w:val="00054A67"/>
    <w:rsid w:val="00056892"/>
    <w:rsid w:val="000601F3"/>
    <w:rsid w:val="00062A63"/>
    <w:rsid w:val="00062F88"/>
    <w:rsid w:val="00063773"/>
    <w:rsid w:val="00063796"/>
    <w:rsid w:val="00063C62"/>
    <w:rsid w:val="0006795B"/>
    <w:rsid w:val="00070186"/>
    <w:rsid w:val="000722E1"/>
    <w:rsid w:val="0007300D"/>
    <w:rsid w:val="00074963"/>
    <w:rsid w:val="00075EA9"/>
    <w:rsid w:val="0007604B"/>
    <w:rsid w:val="0007762F"/>
    <w:rsid w:val="000829A2"/>
    <w:rsid w:val="000832A4"/>
    <w:rsid w:val="000834F1"/>
    <w:rsid w:val="000841E2"/>
    <w:rsid w:val="0008552F"/>
    <w:rsid w:val="00086CF8"/>
    <w:rsid w:val="0009278B"/>
    <w:rsid w:val="000929EB"/>
    <w:rsid w:val="0009394D"/>
    <w:rsid w:val="00094308"/>
    <w:rsid w:val="000945D2"/>
    <w:rsid w:val="00094CB0"/>
    <w:rsid w:val="00095342"/>
    <w:rsid w:val="00096993"/>
    <w:rsid w:val="00096B28"/>
    <w:rsid w:val="00097FB9"/>
    <w:rsid w:val="000A145B"/>
    <w:rsid w:val="000A21DD"/>
    <w:rsid w:val="000A28BC"/>
    <w:rsid w:val="000A3545"/>
    <w:rsid w:val="000A4B89"/>
    <w:rsid w:val="000A5987"/>
    <w:rsid w:val="000A5AFA"/>
    <w:rsid w:val="000A727B"/>
    <w:rsid w:val="000B0B60"/>
    <w:rsid w:val="000B187D"/>
    <w:rsid w:val="000B1AC0"/>
    <w:rsid w:val="000B1DFE"/>
    <w:rsid w:val="000B500A"/>
    <w:rsid w:val="000B5BF1"/>
    <w:rsid w:val="000C229B"/>
    <w:rsid w:val="000C2DA6"/>
    <w:rsid w:val="000C34D7"/>
    <w:rsid w:val="000C498E"/>
    <w:rsid w:val="000C54D5"/>
    <w:rsid w:val="000C5C78"/>
    <w:rsid w:val="000C65FB"/>
    <w:rsid w:val="000C6EB2"/>
    <w:rsid w:val="000D1141"/>
    <w:rsid w:val="000D126E"/>
    <w:rsid w:val="000D14B8"/>
    <w:rsid w:val="000D4174"/>
    <w:rsid w:val="000D5405"/>
    <w:rsid w:val="000D5C82"/>
    <w:rsid w:val="000D6511"/>
    <w:rsid w:val="000D7000"/>
    <w:rsid w:val="000D7D13"/>
    <w:rsid w:val="000E0E2B"/>
    <w:rsid w:val="000E1D85"/>
    <w:rsid w:val="000E1DDE"/>
    <w:rsid w:val="000E240E"/>
    <w:rsid w:val="000E2D71"/>
    <w:rsid w:val="000E4237"/>
    <w:rsid w:val="000E65F5"/>
    <w:rsid w:val="000E7442"/>
    <w:rsid w:val="000E78E4"/>
    <w:rsid w:val="000F0251"/>
    <w:rsid w:val="000F0B9A"/>
    <w:rsid w:val="000F4936"/>
    <w:rsid w:val="000F4C58"/>
    <w:rsid w:val="000F4F89"/>
    <w:rsid w:val="000F6D4B"/>
    <w:rsid w:val="00100CD6"/>
    <w:rsid w:val="00101C2C"/>
    <w:rsid w:val="00102424"/>
    <w:rsid w:val="001027D8"/>
    <w:rsid w:val="00103D48"/>
    <w:rsid w:val="00105D28"/>
    <w:rsid w:val="001072FC"/>
    <w:rsid w:val="00107E31"/>
    <w:rsid w:val="00111629"/>
    <w:rsid w:val="00112270"/>
    <w:rsid w:val="00112EF1"/>
    <w:rsid w:val="001133EE"/>
    <w:rsid w:val="00113E6F"/>
    <w:rsid w:val="00114598"/>
    <w:rsid w:val="00120226"/>
    <w:rsid w:val="001223AA"/>
    <w:rsid w:val="0012292F"/>
    <w:rsid w:val="00124012"/>
    <w:rsid w:val="00124D3E"/>
    <w:rsid w:val="00125772"/>
    <w:rsid w:val="00125BCF"/>
    <w:rsid w:val="0012722B"/>
    <w:rsid w:val="00130513"/>
    <w:rsid w:val="00130B99"/>
    <w:rsid w:val="00132E47"/>
    <w:rsid w:val="00133594"/>
    <w:rsid w:val="00133908"/>
    <w:rsid w:val="00135F4C"/>
    <w:rsid w:val="001375B4"/>
    <w:rsid w:val="00137850"/>
    <w:rsid w:val="00141C06"/>
    <w:rsid w:val="00142D26"/>
    <w:rsid w:val="001446E5"/>
    <w:rsid w:val="00144711"/>
    <w:rsid w:val="00145914"/>
    <w:rsid w:val="00150574"/>
    <w:rsid w:val="001519DF"/>
    <w:rsid w:val="00152259"/>
    <w:rsid w:val="00153578"/>
    <w:rsid w:val="00153F6D"/>
    <w:rsid w:val="0015418E"/>
    <w:rsid w:val="00155480"/>
    <w:rsid w:val="00155E45"/>
    <w:rsid w:val="00156CC0"/>
    <w:rsid w:val="00160F4E"/>
    <w:rsid w:val="00163910"/>
    <w:rsid w:val="00164E69"/>
    <w:rsid w:val="00170305"/>
    <w:rsid w:val="00170887"/>
    <w:rsid w:val="001716D9"/>
    <w:rsid w:val="00171C23"/>
    <w:rsid w:val="00172E72"/>
    <w:rsid w:val="00173803"/>
    <w:rsid w:val="00174748"/>
    <w:rsid w:val="00175626"/>
    <w:rsid w:val="00175A27"/>
    <w:rsid w:val="001764F0"/>
    <w:rsid w:val="00177DFE"/>
    <w:rsid w:val="001807AA"/>
    <w:rsid w:val="00180D92"/>
    <w:rsid w:val="0018112A"/>
    <w:rsid w:val="00183050"/>
    <w:rsid w:val="00186292"/>
    <w:rsid w:val="0018639D"/>
    <w:rsid w:val="0018679E"/>
    <w:rsid w:val="0019166D"/>
    <w:rsid w:val="00191DEB"/>
    <w:rsid w:val="00193940"/>
    <w:rsid w:val="0019562E"/>
    <w:rsid w:val="00196741"/>
    <w:rsid w:val="00196787"/>
    <w:rsid w:val="001A011C"/>
    <w:rsid w:val="001A2355"/>
    <w:rsid w:val="001A3BD6"/>
    <w:rsid w:val="001A4967"/>
    <w:rsid w:val="001A49DB"/>
    <w:rsid w:val="001A6C06"/>
    <w:rsid w:val="001B0490"/>
    <w:rsid w:val="001B1B13"/>
    <w:rsid w:val="001B1C3D"/>
    <w:rsid w:val="001B23A0"/>
    <w:rsid w:val="001B2B40"/>
    <w:rsid w:val="001B3169"/>
    <w:rsid w:val="001B3B7C"/>
    <w:rsid w:val="001B5ADA"/>
    <w:rsid w:val="001B6277"/>
    <w:rsid w:val="001C257E"/>
    <w:rsid w:val="001C5029"/>
    <w:rsid w:val="001C6A10"/>
    <w:rsid w:val="001C7548"/>
    <w:rsid w:val="001D0ECA"/>
    <w:rsid w:val="001D2544"/>
    <w:rsid w:val="001D29E6"/>
    <w:rsid w:val="001D2E0D"/>
    <w:rsid w:val="001D389A"/>
    <w:rsid w:val="001D771B"/>
    <w:rsid w:val="001D7741"/>
    <w:rsid w:val="001E01B4"/>
    <w:rsid w:val="001E0361"/>
    <w:rsid w:val="001E0B72"/>
    <w:rsid w:val="001E3BAE"/>
    <w:rsid w:val="001E42EE"/>
    <w:rsid w:val="001E4607"/>
    <w:rsid w:val="001E6B2C"/>
    <w:rsid w:val="001F027C"/>
    <w:rsid w:val="001F0B12"/>
    <w:rsid w:val="001F11FA"/>
    <w:rsid w:val="001F2980"/>
    <w:rsid w:val="001F37C3"/>
    <w:rsid w:val="001F4D90"/>
    <w:rsid w:val="001F501C"/>
    <w:rsid w:val="001F7CEB"/>
    <w:rsid w:val="00200C36"/>
    <w:rsid w:val="00202B0E"/>
    <w:rsid w:val="00203C8D"/>
    <w:rsid w:val="002074A0"/>
    <w:rsid w:val="0021065C"/>
    <w:rsid w:val="0021200B"/>
    <w:rsid w:val="0021447F"/>
    <w:rsid w:val="00215C47"/>
    <w:rsid w:val="002160CF"/>
    <w:rsid w:val="0021735E"/>
    <w:rsid w:val="0021796C"/>
    <w:rsid w:val="00220501"/>
    <w:rsid w:val="002222EF"/>
    <w:rsid w:val="00222629"/>
    <w:rsid w:val="00222CC4"/>
    <w:rsid w:val="00223340"/>
    <w:rsid w:val="00224652"/>
    <w:rsid w:val="002260F0"/>
    <w:rsid w:val="002263B1"/>
    <w:rsid w:val="00226842"/>
    <w:rsid w:val="0022705D"/>
    <w:rsid w:val="002271E5"/>
    <w:rsid w:val="00233A89"/>
    <w:rsid w:val="00234DE9"/>
    <w:rsid w:val="00235FBD"/>
    <w:rsid w:val="00241E8B"/>
    <w:rsid w:val="00241F19"/>
    <w:rsid w:val="00242AF2"/>
    <w:rsid w:val="002463EF"/>
    <w:rsid w:val="00246A8B"/>
    <w:rsid w:val="00246AB6"/>
    <w:rsid w:val="00247724"/>
    <w:rsid w:val="00250652"/>
    <w:rsid w:val="00251235"/>
    <w:rsid w:val="00251DE6"/>
    <w:rsid w:val="00252F1E"/>
    <w:rsid w:val="00253840"/>
    <w:rsid w:val="00256211"/>
    <w:rsid w:val="0025735E"/>
    <w:rsid w:val="00257ADE"/>
    <w:rsid w:val="0026020C"/>
    <w:rsid w:val="0026144A"/>
    <w:rsid w:val="00262C33"/>
    <w:rsid w:val="00262DB0"/>
    <w:rsid w:val="00265A80"/>
    <w:rsid w:val="00265D62"/>
    <w:rsid w:val="002664B9"/>
    <w:rsid w:val="00266907"/>
    <w:rsid w:val="00266A7C"/>
    <w:rsid w:val="00267A0C"/>
    <w:rsid w:val="00267AD4"/>
    <w:rsid w:val="00270B1E"/>
    <w:rsid w:val="00270EA2"/>
    <w:rsid w:val="0027261C"/>
    <w:rsid w:val="00273805"/>
    <w:rsid w:val="002740D7"/>
    <w:rsid w:val="00275666"/>
    <w:rsid w:val="00276C73"/>
    <w:rsid w:val="00283940"/>
    <w:rsid w:val="002843EE"/>
    <w:rsid w:val="00284816"/>
    <w:rsid w:val="00286A59"/>
    <w:rsid w:val="00286CA6"/>
    <w:rsid w:val="002876E9"/>
    <w:rsid w:val="002877C8"/>
    <w:rsid w:val="002918FA"/>
    <w:rsid w:val="00292246"/>
    <w:rsid w:val="002923DF"/>
    <w:rsid w:val="00293101"/>
    <w:rsid w:val="00293604"/>
    <w:rsid w:val="00293C4F"/>
    <w:rsid w:val="0029468E"/>
    <w:rsid w:val="00295FB6"/>
    <w:rsid w:val="00295FE3"/>
    <w:rsid w:val="002A1C1C"/>
    <w:rsid w:val="002A2AF2"/>
    <w:rsid w:val="002A2D35"/>
    <w:rsid w:val="002A3C92"/>
    <w:rsid w:val="002A489D"/>
    <w:rsid w:val="002A4BBB"/>
    <w:rsid w:val="002A5BE5"/>
    <w:rsid w:val="002A64F3"/>
    <w:rsid w:val="002B0A16"/>
    <w:rsid w:val="002B3792"/>
    <w:rsid w:val="002B61AD"/>
    <w:rsid w:val="002B74A7"/>
    <w:rsid w:val="002C102B"/>
    <w:rsid w:val="002C2546"/>
    <w:rsid w:val="002C4309"/>
    <w:rsid w:val="002C44BE"/>
    <w:rsid w:val="002C4A99"/>
    <w:rsid w:val="002C4B88"/>
    <w:rsid w:val="002C4DB7"/>
    <w:rsid w:val="002C6565"/>
    <w:rsid w:val="002C69FD"/>
    <w:rsid w:val="002D0524"/>
    <w:rsid w:val="002D0B68"/>
    <w:rsid w:val="002D0E22"/>
    <w:rsid w:val="002D1235"/>
    <w:rsid w:val="002D1A78"/>
    <w:rsid w:val="002D1CBE"/>
    <w:rsid w:val="002D3554"/>
    <w:rsid w:val="002D49AA"/>
    <w:rsid w:val="002E3EF6"/>
    <w:rsid w:val="002E4DCB"/>
    <w:rsid w:val="002E7116"/>
    <w:rsid w:val="002F102C"/>
    <w:rsid w:val="002F1C8E"/>
    <w:rsid w:val="002F2344"/>
    <w:rsid w:val="002F2AA6"/>
    <w:rsid w:val="002F3405"/>
    <w:rsid w:val="002F4F19"/>
    <w:rsid w:val="002F52B7"/>
    <w:rsid w:val="002F5515"/>
    <w:rsid w:val="002F5EB4"/>
    <w:rsid w:val="002F7AF5"/>
    <w:rsid w:val="00300A2B"/>
    <w:rsid w:val="00300EB0"/>
    <w:rsid w:val="00301243"/>
    <w:rsid w:val="003012E7"/>
    <w:rsid w:val="003017EA"/>
    <w:rsid w:val="00302B63"/>
    <w:rsid w:val="00302BD7"/>
    <w:rsid w:val="00303CB5"/>
    <w:rsid w:val="00303E3E"/>
    <w:rsid w:val="00304298"/>
    <w:rsid w:val="003046DA"/>
    <w:rsid w:val="00304A2C"/>
    <w:rsid w:val="00304C27"/>
    <w:rsid w:val="0030547E"/>
    <w:rsid w:val="003056C0"/>
    <w:rsid w:val="00306414"/>
    <w:rsid w:val="00306EF1"/>
    <w:rsid w:val="00307E4C"/>
    <w:rsid w:val="0031157F"/>
    <w:rsid w:val="0031162B"/>
    <w:rsid w:val="00311D3B"/>
    <w:rsid w:val="00313A7D"/>
    <w:rsid w:val="00313FF7"/>
    <w:rsid w:val="00315423"/>
    <w:rsid w:val="00321ABE"/>
    <w:rsid w:val="00323284"/>
    <w:rsid w:val="0032462A"/>
    <w:rsid w:val="00324F2B"/>
    <w:rsid w:val="003273AB"/>
    <w:rsid w:val="00327459"/>
    <w:rsid w:val="00327B1E"/>
    <w:rsid w:val="003300D2"/>
    <w:rsid w:val="00331E9B"/>
    <w:rsid w:val="00331ECB"/>
    <w:rsid w:val="0033501C"/>
    <w:rsid w:val="003359BD"/>
    <w:rsid w:val="003360BD"/>
    <w:rsid w:val="00336746"/>
    <w:rsid w:val="00337722"/>
    <w:rsid w:val="00340DA2"/>
    <w:rsid w:val="00340E87"/>
    <w:rsid w:val="00341099"/>
    <w:rsid w:val="00341D9D"/>
    <w:rsid w:val="00341E43"/>
    <w:rsid w:val="00342040"/>
    <w:rsid w:val="00342179"/>
    <w:rsid w:val="003422F6"/>
    <w:rsid w:val="003428E2"/>
    <w:rsid w:val="00342C0B"/>
    <w:rsid w:val="00342CA0"/>
    <w:rsid w:val="00343B46"/>
    <w:rsid w:val="00343C4B"/>
    <w:rsid w:val="00346220"/>
    <w:rsid w:val="00347C98"/>
    <w:rsid w:val="00347E42"/>
    <w:rsid w:val="00350D68"/>
    <w:rsid w:val="00352DE8"/>
    <w:rsid w:val="003533A1"/>
    <w:rsid w:val="003535F9"/>
    <w:rsid w:val="003542A7"/>
    <w:rsid w:val="003579A0"/>
    <w:rsid w:val="003618AB"/>
    <w:rsid w:val="00362641"/>
    <w:rsid w:val="003659AC"/>
    <w:rsid w:val="003669EB"/>
    <w:rsid w:val="0036733A"/>
    <w:rsid w:val="003674FE"/>
    <w:rsid w:val="003708FF"/>
    <w:rsid w:val="00372967"/>
    <w:rsid w:val="0037324E"/>
    <w:rsid w:val="003736FE"/>
    <w:rsid w:val="00373FF8"/>
    <w:rsid w:val="003772E8"/>
    <w:rsid w:val="0037741E"/>
    <w:rsid w:val="00377E27"/>
    <w:rsid w:val="00380C0E"/>
    <w:rsid w:val="00380DEE"/>
    <w:rsid w:val="00382344"/>
    <w:rsid w:val="003855E1"/>
    <w:rsid w:val="0038584E"/>
    <w:rsid w:val="003858A4"/>
    <w:rsid w:val="00386727"/>
    <w:rsid w:val="00386E14"/>
    <w:rsid w:val="00387164"/>
    <w:rsid w:val="00390790"/>
    <w:rsid w:val="0039250D"/>
    <w:rsid w:val="003965FE"/>
    <w:rsid w:val="003972C2"/>
    <w:rsid w:val="0039736E"/>
    <w:rsid w:val="00397963"/>
    <w:rsid w:val="003979CC"/>
    <w:rsid w:val="003A3167"/>
    <w:rsid w:val="003A3D4B"/>
    <w:rsid w:val="003A5FCE"/>
    <w:rsid w:val="003A6C85"/>
    <w:rsid w:val="003A6CA8"/>
    <w:rsid w:val="003A77BB"/>
    <w:rsid w:val="003B00C9"/>
    <w:rsid w:val="003B2B72"/>
    <w:rsid w:val="003B2FDD"/>
    <w:rsid w:val="003B3018"/>
    <w:rsid w:val="003B4DCD"/>
    <w:rsid w:val="003B622E"/>
    <w:rsid w:val="003B641F"/>
    <w:rsid w:val="003C1C0D"/>
    <w:rsid w:val="003C2FCA"/>
    <w:rsid w:val="003C32B6"/>
    <w:rsid w:val="003C3A5F"/>
    <w:rsid w:val="003C5B5E"/>
    <w:rsid w:val="003C6FD2"/>
    <w:rsid w:val="003C796E"/>
    <w:rsid w:val="003D04B9"/>
    <w:rsid w:val="003D0B97"/>
    <w:rsid w:val="003D1496"/>
    <w:rsid w:val="003D1F27"/>
    <w:rsid w:val="003D2596"/>
    <w:rsid w:val="003D380F"/>
    <w:rsid w:val="003D666D"/>
    <w:rsid w:val="003E13EF"/>
    <w:rsid w:val="003E16B5"/>
    <w:rsid w:val="003E2A19"/>
    <w:rsid w:val="003E2CDE"/>
    <w:rsid w:val="003E31FD"/>
    <w:rsid w:val="003E4D61"/>
    <w:rsid w:val="003E66FF"/>
    <w:rsid w:val="003E7E44"/>
    <w:rsid w:val="003F0EE7"/>
    <w:rsid w:val="003F1124"/>
    <w:rsid w:val="003F2336"/>
    <w:rsid w:val="003F40FE"/>
    <w:rsid w:val="003F42C2"/>
    <w:rsid w:val="003F6D07"/>
    <w:rsid w:val="00401CD8"/>
    <w:rsid w:val="0040239E"/>
    <w:rsid w:val="004029D7"/>
    <w:rsid w:val="004040B4"/>
    <w:rsid w:val="00404E68"/>
    <w:rsid w:val="00404F5A"/>
    <w:rsid w:val="00406F2E"/>
    <w:rsid w:val="004077F9"/>
    <w:rsid w:val="004101B9"/>
    <w:rsid w:val="00410303"/>
    <w:rsid w:val="004105FA"/>
    <w:rsid w:val="00412A71"/>
    <w:rsid w:val="0041348B"/>
    <w:rsid w:val="00413B3E"/>
    <w:rsid w:val="004163FF"/>
    <w:rsid w:val="00420657"/>
    <w:rsid w:val="00420FFA"/>
    <w:rsid w:val="00421DF5"/>
    <w:rsid w:val="00422ABE"/>
    <w:rsid w:val="00423E38"/>
    <w:rsid w:val="00427128"/>
    <w:rsid w:val="0042712C"/>
    <w:rsid w:val="00427840"/>
    <w:rsid w:val="00430905"/>
    <w:rsid w:val="00433261"/>
    <w:rsid w:val="00434068"/>
    <w:rsid w:val="0043588B"/>
    <w:rsid w:val="00435F6A"/>
    <w:rsid w:val="004404A0"/>
    <w:rsid w:val="00440BFA"/>
    <w:rsid w:val="00441493"/>
    <w:rsid w:val="00442A0B"/>
    <w:rsid w:val="004432A2"/>
    <w:rsid w:val="00443FC9"/>
    <w:rsid w:val="00444916"/>
    <w:rsid w:val="00444D3A"/>
    <w:rsid w:val="004451E5"/>
    <w:rsid w:val="0044619A"/>
    <w:rsid w:val="00450921"/>
    <w:rsid w:val="0045235D"/>
    <w:rsid w:val="00453A0A"/>
    <w:rsid w:val="004554C0"/>
    <w:rsid w:val="0045654D"/>
    <w:rsid w:val="00457BC7"/>
    <w:rsid w:val="00460355"/>
    <w:rsid w:val="004624BE"/>
    <w:rsid w:val="00464E7F"/>
    <w:rsid w:val="00467009"/>
    <w:rsid w:val="00470C89"/>
    <w:rsid w:val="0047402F"/>
    <w:rsid w:val="00482313"/>
    <w:rsid w:val="0048363E"/>
    <w:rsid w:val="004838ED"/>
    <w:rsid w:val="00483D9C"/>
    <w:rsid w:val="0048454D"/>
    <w:rsid w:val="00484708"/>
    <w:rsid w:val="00484F8E"/>
    <w:rsid w:val="004853E2"/>
    <w:rsid w:val="004859B3"/>
    <w:rsid w:val="00485C70"/>
    <w:rsid w:val="004876E5"/>
    <w:rsid w:val="00487ACA"/>
    <w:rsid w:val="00490B20"/>
    <w:rsid w:val="00490C96"/>
    <w:rsid w:val="00491B70"/>
    <w:rsid w:val="00493CDA"/>
    <w:rsid w:val="00495409"/>
    <w:rsid w:val="00496109"/>
    <w:rsid w:val="00496867"/>
    <w:rsid w:val="00497E98"/>
    <w:rsid w:val="004A051E"/>
    <w:rsid w:val="004A363F"/>
    <w:rsid w:val="004A376E"/>
    <w:rsid w:val="004A45BE"/>
    <w:rsid w:val="004A53F5"/>
    <w:rsid w:val="004B1098"/>
    <w:rsid w:val="004B5741"/>
    <w:rsid w:val="004B6EFB"/>
    <w:rsid w:val="004B74B8"/>
    <w:rsid w:val="004C14BB"/>
    <w:rsid w:val="004C1E76"/>
    <w:rsid w:val="004C22B6"/>
    <w:rsid w:val="004C4FDE"/>
    <w:rsid w:val="004C55AB"/>
    <w:rsid w:val="004C676A"/>
    <w:rsid w:val="004D080A"/>
    <w:rsid w:val="004D08CA"/>
    <w:rsid w:val="004D13FC"/>
    <w:rsid w:val="004D1771"/>
    <w:rsid w:val="004D4299"/>
    <w:rsid w:val="004D4F9A"/>
    <w:rsid w:val="004D5158"/>
    <w:rsid w:val="004D537C"/>
    <w:rsid w:val="004D63AC"/>
    <w:rsid w:val="004D7099"/>
    <w:rsid w:val="004E02A8"/>
    <w:rsid w:val="004E0D0F"/>
    <w:rsid w:val="004E1C19"/>
    <w:rsid w:val="004E3C76"/>
    <w:rsid w:val="004E4430"/>
    <w:rsid w:val="004E4F2B"/>
    <w:rsid w:val="004F04F0"/>
    <w:rsid w:val="004F31DE"/>
    <w:rsid w:val="004F339F"/>
    <w:rsid w:val="004F3837"/>
    <w:rsid w:val="004F3CA7"/>
    <w:rsid w:val="004F4AFA"/>
    <w:rsid w:val="004F704F"/>
    <w:rsid w:val="004F7F27"/>
    <w:rsid w:val="00501C27"/>
    <w:rsid w:val="00507ABB"/>
    <w:rsid w:val="00510353"/>
    <w:rsid w:val="0051091E"/>
    <w:rsid w:val="005115AE"/>
    <w:rsid w:val="00511D94"/>
    <w:rsid w:val="00512F15"/>
    <w:rsid w:val="00517605"/>
    <w:rsid w:val="005208D5"/>
    <w:rsid w:val="00521530"/>
    <w:rsid w:val="00521EBB"/>
    <w:rsid w:val="0052216D"/>
    <w:rsid w:val="00523E22"/>
    <w:rsid w:val="00530216"/>
    <w:rsid w:val="00530B6B"/>
    <w:rsid w:val="0053131F"/>
    <w:rsid w:val="00531FCA"/>
    <w:rsid w:val="00535D1C"/>
    <w:rsid w:val="00535EC9"/>
    <w:rsid w:val="00540B91"/>
    <w:rsid w:val="00541CD8"/>
    <w:rsid w:val="00542668"/>
    <w:rsid w:val="0054432E"/>
    <w:rsid w:val="00547BDD"/>
    <w:rsid w:val="00550739"/>
    <w:rsid w:val="00550DFD"/>
    <w:rsid w:val="00552D69"/>
    <w:rsid w:val="005542D0"/>
    <w:rsid w:val="00554B1C"/>
    <w:rsid w:val="00555076"/>
    <w:rsid w:val="00556AEE"/>
    <w:rsid w:val="00556CB4"/>
    <w:rsid w:val="005573CA"/>
    <w:rsid w:val="00560872"/>
    <w:rsid w:val="00562387"/>
    <w:rsid w:val="00563C5E"/>
    <w:rsid w:val="00563D72"/>
    <w:rsid w:val="00565FA9"/>
    <w:rsid w:val="0056620C"/>
    <w:rsid w:val="0056626D"/>
    <w:rsid w:val="00566565"/>
    <w:rsid w:val="005714D0"/>
    <w:rsid w:val="0057185C"/>
    <w:rsid w:val="005729FA"/>
    <w:rsid w:val="00573F98"/>
    <w:rsid w:val="005778DD"/>
    <w:rsid w:val="00577DF0"/>
    <w:rsid w:val="00581EE4"/>
    <w:rsid w:val="00582858"/>
    <w:rsid w:val="00583AA7"/>
    <w:rsid w:val="0058429C"/>
    <w:rsid w:val="005865C4"/>
    <w:rsid w:val="00592BE8"/>
    <w:rsid w:val="00592EC4"/>
    <w:rsid w:val="00594367"/>
    <w:rsid w:val="005959DC"/>
    <w:rsid w:val="00597C31"/>
    <w:rsid w:val="005A3B37"/>
    <w:rsid w:val="005A6CF4"/>
    <w:rsid w:val="005A77C8"/>
    <w:rsid w:val="005B0E51"/>
    <w:rsid w:val="005B123F"/>
    <w:rsid w:val="005B18C2"/>
    <w:rsid w:val="005B2796"/>
    <w:rsid w:val="005B2C06"/>
    <w:rsid w:val="005B7C1A"/>
    <w:rsid w:val="005C04F2"/>
    <w:rsid w:val="005C1E6A"/>
    <w:rsid w:val="005C2C06"/>
    <w:rsid w:val="005C2CE9"/>
    <w:rsid w:val="005C452D"/>
    <w:rsid w:val="005C4C9F"/>
    <w:rsid w:val="005C4F75"/>
    <w:rsid w:val="005C609E"/>
    <w:rsid w:val="005D075A"/>
    <w:rsid w:val="005D092B"/>
    <w:rsid w:val="005D0DE5"/>
    <w:rsid w:val="005D2348"/>
    <w:rsid w:val="005E0515"/>
    <w:rsid w:val="005E30AC"/>
    <w:rsid w:val="005E4D98"/>
    <w:rsid w:val="005E58C5"/>
    <w:rsid w:val="005E6A05"/>
    <w:rsid w:val="005E7EB2"/>
    <w:rsid w:val="005F00BA"/>
    <w:rsid w:val="005F0A6B"/>
    <w:rsid w:val="005F1C7A"/>
    <w:rsid w:val="005F2273"/>
    <w:rsid w:val="005F2502"/>
    <w:rsid w:val="005F30A6"/>
    <w:rsid w:val="005F339C"/>
    <w:rsid w:val="005F4764"/>
    <w:rsid w:val="005F5BEA"/>
    <w:rsid w:val="005F6A1D"/>
    <w:rsid w:val="005F6E08"/>
    <w:rsid w:val="005F7127"/>
    <w:rsid w:val="005F73E5"/>
    <w:rsid w:val="005F7909"/>
    <w:rsid w:val="006022FC"/>
    <w:rsid w:val="00602E9F"/>
    <w:rsid w:val="0060393E"/>
    <w:rsid w:val="006059CB"/>
    <w:rsid w:val="00606569"/>
    <w:rsid w:val="006108B0"/>
    <w:rsid w:val="00610EA4"/>
    <w:rsid w:val="00611293"/>
    <w:rsid w:val="00611959"/>
    <w:rsid w:val="00611EB7"/>
    <w:rsid w:val="00612B96"/>
    <w:rsid w:val="00613A59"/>
    <w:rsid w:val="006141F0"/>
    <w:rsid w:val="00616D4C"/>
    <w:rsid w:val="0061739F"/>
    <w:rsid w:val="00617799"/>
    <w:rsid w:val="00617F4C"/>
    <w:rsid w:val="00620054"/>
    <w:rsid w:val="00621168"/>
    <w:rsid w:val="006232AB"/>
    <w:rsid w:val="00623907"/>
    <w:rsid w:val="00625146"/>
    <w:rsid w:val="006251BB"/>
    <w:rsid w:val="006262C5"/>
    <w:rsid w:val="00630FD0"/>
    <w:rsid w:val="0063188F"/>
    <w:rsid w:val="006323CE"/>
    <w:rsid w:val="00633414"/>
    <w:rsid w:val="00633C43"/>
    <w:rsid w:val="00635115"/>
    <w:rsid w:val="00635603"/>
    <w:rsid w:val="00636C09"/>
    <w:rsid w:val="00636EA3"/>
    <w:rsid w:val="0063795B"/>
    <w:rsid w:val="0064008F"/>
    <w:rsid w:val="00643485"/>
    <w:rsid w:val="0064363E"/>
    <w:rsid w:val="006440E9"/>
    <w:rsid w:val="00644696"/>
    <w:rsid w:val="00645623"/>
    <w:rsid w:val="00646E4A"/>
    <w:rsid w:val="00647551"/>
    <w:rsid w:val="006544CF"/>
    <w:rsid w:val="00654FBD"/>
    <w:rsid w:val="006557B6"/>
    <w:rsid w:val="00656315"/>
    <w:rsid w:val="0065685A"/>
    <w:rsid w:val="0065751C"/>
    <w:rsid w:val="00657577"/>
    <w:rsid w:val="006603E0"/>
    <w:rsid w:val="006609EA"/>
    <w:rsid w:val="0066164D"/>
    <w:rsid w:val="00662A1E"/>
    <w:rsid w:val="0066528F"/>
    <w:rsid w:val="00665CF6"/>
    <w:rsid w:val="00666152"/>
    <w:rsid w:val="006666D2"/>
    <w:rsid w:val="00667018"/>
    <w:rsid w:val="00670F57"/>
    <w:rsid w:val="006719A6"/>
    <w:rsid w:val="00672E54"/>
    <w:rsid w:val="0067377A"/>
    <w:rsid w:val="00674765"/>
    <w:rsid w:val="00681013"/>
    <w:rsid w:val="00687B09"/>
    <w:rsid w:val="00690F94"/>
    <w:rsid w:val="00691F8E"/>
    <w:rsid w:val="0069239D"/>
    <w:rsid w:val="0069454B"/>
    <w:rsid w:val="006950ED"/>
    <w:rsid w:val="00695F64"/>
    <w:rsid w:val="006977C9"/>
    <w:rsid w:val="006A0E8D"/>
    <w:rsid w:val="006A3368"/>
    <w:rsid w:val="006B3F50"/>
    <w:rsid w:val="006B4656"/>
    <w:rsid w:val="006B575E"/>
    <w:rsid w:val="006B67A8"/>
    <w:rsid w:val="006B7366"/>
    <w:rsid w:val="006C188E"/>
    <w:rsid w:val="006C310F"/>
    <w:rsid w:val="006C41E1"/>
    <w:rsid w:val="006C4487"/>
    <w:rsid w:val="006C4899"/>
    <w:rsid w:val="006C48E8"/>
    <w:rsid w:val="006C72B5"/>
    <w:rsid w:val="006C78CF"/>
    <w:rsid w:val="006C7C1E"/>
    <w:rsid w:val="006D068B"/>
    <w:rsid w:val="006D07C5"/>
    <w:rsid w:val="006D293D"/>
    <w:rsid w:val="006D7EE6"/>
    <w:rsid w:val="006E0E7E"/>
    <w:rsid w:val="006E1384"/>
    <w:rsid w:val="006E558C"/>
    <w:rsid w:val="006E71CC"/>
    <w:rsid w:val="006F1565"/>
    <w:rsid w:val="006F389E"/>
    <w:rsid w:val="006F60A7"/>
    <w:rsid w:val="006F668E"/>
    <w:rsid w:val="006F6A90"/>
    <w:rsid w:val="006F7C2C"/>
    <w:rsid w:val="00701420"/>
    <w:rsid w:val="0070306A"/>
    <w:rsid w:val="007035EB"/>
    <w:rsid w:val="00703601"/>
    <w:rsid w:val="00703791"/>
    <w:rsid w:val="00704809"/>
    <w:rsid w:val="00705C9D"/>
    <w:rsid w:val="00706E78"/>
    <w:rsid w:val="00707036"/>
    <w:rsid w:val="007103A0"/>
    <w:rsid w:val="00711281"/>
    <w:rsid w:val="0071169C"/>
    <w:rsid w:val="00711885"/>
    <w:rsid w:val="007119FE"/>
    <w:rsid w:val="00712828"/>
    <w:rsid w:val="0071282B"/>
    <w:rsid w:val="00712A6F"/>
    <w:rsid w:val="00713A15"/>
    <w:rsid w:val="007144C3"/>
    <w:rsid w:val="00715200"/>
    <w:rsid w:val="0071676A"/>
    <w:rsid w:val="0072715F"/>
    <w:rsid w:val="00731125"/>
    <w:rsid w:val="0073398A"/>
    <w:rsid w:val="00735D8D"/>
    <w:rsid w:val="00740236"/>
    <w:rsid w:val="0074031F"/>
    <w:rsid w:val="00740374"/>
    <w:rsid w:val="007404BA"/>
    <w:rsid w:val="007418D7"/>
    <w:rsid w:val="00745478"/>
    <w:rsid w:val="00747F4C"/>
    <w:rsid w:val="00750837"/>
    <w:rsid w:val="00750CDE"/>
    <w:rsid w:val="007516B3"/>
    <w:rsid w:val="00751C73"/>
    <w:rsid w:val="007530CA"/>
    <w:rsid w:val="00754303"/>
    <w:rsid w:val="0075461A"/>
    <w:rsid w:val="00755C0E"/>
    <w:rsid w:val="00756B6F"/>
    <w:rsid w:val="00757AF6"/>
    <w:rsid w:val="00761730"/>
    <w:rsid w:val="00761AE0"/>
    <w:rsid w:val="00762262"/>
    <w:rsid w:val="00762AB9"/>
    <w:rsid w:val="0076426C"/>
    <w:rsid w:val="00764C5E"/>
    <w:rsid w:val="00772380"/>
    <w:rsid w:val="0077247B"/>
    <w:rsid w:val="007741D3"/>
    <w:rsid w:val="007758B2"/>
    <w:rsid w:val="00775B1F"/>
    <w:rsid w:val="00776128"/>
    <w:rsid w:val="007771ED"/>
    <w:rsid w:val="00777A7E"/>
    <w:rsid w:val="00777B90"/>
    <w:rsid w:val="007803CE"/>
    <w:rsid w:val="0078116F"/>
    <w:rsid w:val="0078192F"/>
    <w:rsid w:val="00781BD9"/>
    <w:rsid w:val="0078270F"/>
    <w:rsid w:val="00784559"/>
    <w:rsid w:val="007848D6"/>
    <w:rsid w:val="0078547F"/>
    <w:rsid w:val="00785808"/>
    <w:rsid w:val="007862D6"/>
    <w:rsid w:val="00790243"/>
    <w:rsid w:val="00791933"/>
    <w:rsid w:val="00792EFA"/>
    <w:rsid w:val="00796737"/>
    <w:rsid w:val="007972D6"/>
    <w:rsid w:val="007975FA"/>
    <w:rsid w:val="007A01C9"/>
    <w:rsid w:val="007A2611"/>
    <w:rsid w:val="007A34C4"/>
    <w:rsid w:val="007A3715"/>
    <w:rsid w:val="007A445C"/>
    <w:rsid w:val="007A4800"/>
    <w:rsid w:val="007A4BDA"/>
    <w:rsid w:val="007A5987"/>
    <w:rsid w:val="007A61E7"/>
    <w:rsid w:val="007B17E5"/>
    <w:rsid w:val="007B1DB4"/>
    <w:rsid w:val="007B245A"/>
    <w:rsid w:val="007B6B4E"/>
    <w:rsid w:val="007B77E4"/>
    <w:rsid w:val="007B7F18"/>
    <w:rsid w:val="007C0C13"/>
    <w:rsid w:val="007C1898"/>
    <w:rsid w:val="007C49A0"/>
    <w:rsid w:val="007C57EB"/>
    <w:rsid w:val="007C5E90"/>
    <w:rsid w:val="007C6A02"/>
    <w:rsid w:val="007C6C00"/>
    <w:rsid w:val="007D35B8"/>
    <w:rsid w:val="007D41A6"/>
    <w:rsid w:val="007D4804"/>
    <w:rsid w:val="007D58E7"/>
    <w:rsid w:val="007E029F"/>
    <w:rsid w:val="007E060D"/>
    <w:rsid w:val="007E09B9"/>
    <w:rsid w:val="007E0AF8"/>
    <w:rsid w:val="007E4D53"/>
    <w:rsid w:val="007E6426"/>
    <w:rsid w:val="007E6652"/>
    <w:rsid w:val="007F1A9B"/>
    <w:rsid w:val="007F346B"/>
    <w:rsid w:val="008004EE"/>
    <w:rsid w:val="0080200D"/>
    <w:rsid w:val="008028DD"/>
    <w:rsid w:val="008035B2"/>
    <w:rsid w:val="008049C9"/>
    <w:rsid w:val="0080500B"/>
    <w:rsid w:val="00805225"/>
    <w:rsid w:val="00805C40"/>
    <w:rsid w:val="00805F35"/>
    <w:rsid w:val="0080795D"/>
    <w:rsid w:val="00807DD3"/>
    <w:rsid w:val="0081103B"/>
    <w:rsid w:val="008118AE"/>
    <w:rsid w:val="00812193"/>
    <w:rsid w:val="008132D3"/>
    <w:rsid w:val="00814899"/>
    <w:rsid w:val="008202E6"/>
    <w:rsid w:val="00821381"/>
    <w:rsid w:val="00822143"/>
    <w:rsid w:val="0082247D"/>
    <w:rsid w:val="008252CF"/>
    <w:rsid w:val="00825D42"/>
    <w:rsid w:val="00825F28"/>
    <w:rsid w:val="00826B5D"/>
    <w:rsid w:val="00827EE4"/>
    <w:rsid w:val="008324C3"/>
    <w:rsid w:val="00832E8D"/>
    <w:rsid w:val="00833FD9"/>
    <w:rsid w:val="008366A5"/>
    <w:rsid w:val="00843520"/>
    <w:rsid w:val="00843C0E"/>
    <w:rsid w:val="00843F34"/>
    <w:rsid w:val="00846299"/>
    <w:rsid w:val="00847587"/>
    <w:rsid w:val="008506BE"/>
    <w:rsid w:val="00851AAD"/>
    <w:rsid w:val="00853511"/>
    <w:rsid w:val="00853E13"/>
    <w:rsid w:val="008552F8"/>
    <w:rsid w:val="008555FF"/>
    <w:rsid w:val="00860047"/>
    <w:rsid w:val="00861F1E"/>
    <w:rsid w:val="0086276B"/>
    <w:rsid w:val="00862A07"/>
    <w:rsid w:val="008647E2"/>
    <w:rsid w:val="00864A19"/>
    <w:rsid w:val="00865399"/>
    <w:rsid w:val="00865952"/>
    <w:rsid w:val="008667B4"/>
    <w:rsid w:val="008670F5"/>
    <w:rsid w:val="00871369"/>
    <w:rsid w:val="00873984"/>
    <w:rsid w:val="0087440C"/>
    <w:rsid w:val="008764FC"/>
    <w:rsid w:val="008770A0"/>
    <w:rsid w:val="0087795C"/>
    <w:rsid w:val="00881BC0"/>
    <w:rsid w:val="00881DB0"/>
    <w:rsid w:val="0088333F"/>
    <w:rsid w:val="008908EF"/>
    <w:rsid w:val="00890DFA"/>
    <w:rsid w:val="008939FF"/>
    <w:rsid w:val="0089439C"/>
    <w:rsid w:val="00894652"/>
    <w:rsid w:val="0089632E"/>
    <w:rsid w:val="00896624"/>
    <w:rsid w:val="0089717D"/>
    <w:rsid w:val="008A0293"/>
    <w:rsid w:val="008A082E"/>
    <w:rsid w:val="008A14C4"/>
    <w:rsid w:val="008A1B5B"/>
    <w:rsid w:val="008A38C2"/>
    <w:rsid w:val="008A4A18"/>
    <w:rsid w:val="008A6144"/>
    <w:rsid w:val="008A6E30"/>
    <w:rsid w:val="008A6FAF"/>
    <w:rsid w:val="008A75BD"/>
    <w:rsid w:val="008B015B"/>
    <w:rsid w:val="008B0196"/>
    <w:rsid w:val="008B121D"/>
    <w:rsid w:val="008B19DC"/>
    <w:rsid w:val="008B3334"/>
    <w:rsid w:val="008B54E4"/>
    <w:rsid w:val="008C05B1"/>
    <w:rsid w:val="008C07AB"/>
    <w:rsid w:val="008C1161"/>
    <w:rsid w:val="008C2192"/>
    <w:rsid w:val="008C3A79"/>
    <w:rsid w:val="008C3AC0"/>
    <w:rsid w:val="008C3E6B"/>
    <w:rsid w:val="008C48AC"/>
    <w:rsid w:val="008C5E49"/>
    <w:rsid w:val="008C5F19"/>
    <w:rsid w:val="008C6466"/>
    <w:rsid w:val="008C716E"/>
    <w:rsid w:val="008D1D28"/>
    <w:rsid w:val="008D280A"/>
    <w:rsid w:val="008D285C"/>
    <w:rsid w:val="008D2D46"/>
    <w:rsid w:val="008D562A"/>
    <w:rsid w:val="008D6BBB"/>
    <w:rsid w:val="008D7F0C"/>
    <w:rsid w:val="008E0468"/>
    <w:rsid w:val="008E0F86"/>
    <w:rsid w:val="008E324E"/>
    <w:rsid w:val="008E32E1"/>
    <w:rsid w:val="008E404B"/>
    <w:rsid w:val="008E76E9"/>
    <w:rsid w:val="008F219A"/>
    <w:rsid w:val="008F21FE"/>
    <w:rsid w:val="008F3382"/>
    <w:rsid w:val="008F3D6C"/>
    <w:rsid w:val="008F3EDD"/>
    <w:rsid w:val="008F5606"/>
    <w:rsid w:val="008F73DB"/>
    <w:rsid w:val="009008AD"/>
    <w:rsid w:val="00900B90"/>
    <w:rsid w:val="009011D7"/>
    <w:rsid w:val="00902366"/>
    <w:rsid w:val="009024B6"/>
    <w:rsid w:val="00903E0A"/>
    <w:rsid w:val="00906DAA"/>
    <w:rsid w:val="00907201"/>
    <w:rsid w:val="00907D99"/>
    <w:rsid w:val="00907DD1"/>
    <w:rsid w:val="00910D8B"/>
    <w:rsid w:val="00911DCF"/>
    <w:rsid w:val="009121F9"/>
    <w:rsid w:val="00914103"/>
    <w:rsid w:val="00915B56"/>
    <w:rsid w:val="00920595"/>
    <w:rsid w:val="009205B6"/>
    <w:rsid w:val="0092358A"/>
    <w:rsid w:val="009235BD"/>
    <w:rsid w:val="009254BE"/>
    <w:rsid w:val="0092688D"/>
    <w:rsid w:val="00927119"/>
    <w:rsid w:val="00927298"/>
    <w:rsid w:val="00927630"/>
    <w:rsid w:val="009278FF"/>
    <w:rsid w:val="009279C3"/>
    <w:rsid w:val="009300E9"/>
    <w:rsid w:val="00930116"/>
    <w:rsid w:val="00930D50"/>
    <w:rsid w:val="0093175C"/>
    <w:rsid w:val="00933AB7"/>
    <w:rsid w:val="00933B79"/>
    <w:rsid w:val="00936609"/>
    <w:rsid w:val="00936DC4"/>
    <w:rsid w:val="00936ECE"/>
    <w:rsid w:val="00940238"/>
    <w:rsid w:val="00940858"/>
    <w:rsid w:val="00940D8C"/>
    <w:rsid w:val="00941D2D"/>
    <w:rsid w:val="00942AAD"/>
    <w:rsid w:val="0094334E"/>
    <w:rsid w:val="00944EE6"/>
    <w:rsid w:val="0094529C"/>
    <w:rsid w:val="00946106"/>
    <w:rsid w:val="009467C5"/>
    <w:rsid w:val="009501EE"/>
    <w:rsid w:val="00952B1E"/>
    <w:rsid w:val="00955843"/>
    <w:rsid w:val="00955A3E"/>
    <w:rsid w:val="00956090"/>
    <w:rsid w:val="009564B6"/>
    <w:rsid w:val="00961525"/>
    <w:rsid w:val="00961793"/>
    <w:rsid w:val="0096393E"/>
    <w:rsid w:val="009652C6"/>
    <w:rsid w:val="009710EA"/>
    <w:rsid w:val="00971883"/>
    <w:rsid w:val="0097226A"/>
    <w:rsid w:val="009726B9"/>
    <w:rsid w:val="00972766"/>
    <w:rsid w:val="00972DDA"/>
    <w:rsid w:val="009746E6"/>
    <w:rsid w:val="00975EEA"/>
    <w:rsid w:val="00976161"/>
    <w:rsid w:val="00977B83"/>
    <w:rsid w:val="00980ED4"/>
    <w:rsid w:val="00983E6F"/>
    <w:rsid w:val="0098425E"/>
    <w:rsid w:val="00984367"/>
    <w:rsid w:val="00984636"/>
    <w:rsid w:val="009865D2"/>
    <w:rsid w:val="00987450"/>
    <w:rsid w:val="009906F7"/>
    <w:rsid w:val="0099344C"/>
    <w:rsid w:val="00995206"/>
    <w:rsid w:val="00996D9E"/>
    <w:rsid w:val="00997735"/>
    <w:rsid w:val="009A0260"/>
    <w:rsid w:val="009A1537"/>
    <w:rsid w:val="009A1846"/>
    <w:rsid w:val="009A2291"/>
    <w:rsid w:val="009A2EB5"/>
    <w:rsid w:val="009A74D3"/>
    <w:rsid w:val="009B136F"/>
    <w:rsid w:val="009B1A2C"/>
    <w:rsid w:val="009B4008"/>
    <w:rsid w:val="009B427C"/>
    <w:rsid w:val="009B42AE"/>
    <w:rsid w:val="009B62AB"/>
    <w:rsid w:val="009B6FB0"/>
    <w:rsid w:val="009C115D"/>
    <w:rsid w:val="009C4270"/>
    <w:rsid w:val="009C5972"/>
    <w:rsid w:val="009C67CF"/>
    <w:rsid w:val="009D0A1F"/>
    <w:rsid w:val="009D2385"/>
    <w:rsid w:val="009D4384"/>
    <w:rsid w:val="009D4420"/>
    <w:rsid w:val="009D4C6B"/>
    <w:rsid w:val="009D6064"/>
    <w:rsid w:val="009E011D"/>
    <w:rsid w:val="009E4CDA"/>
    <w:rsid w:val="009E5918"/>
    <w:rsid w:val="009E6075"/>
    <w:rsid w:val="009E7C72"/>
    <w:rsid w:val="009F02A9"/>
    <w:rsid w:val="009F18C0"/>
    <w:rsid w:val="009F2797"/>
    <w:rsid w:val="009F3A09"/>
    <w:rsid w:val="009F3A48"/>
    <w:rsid w:val="009F4DA6"/>
    <w:rsid w:val="009F51AA"/>
    <w:rsid w:val="009F54C3"/>
    <w:rsid w:val="009F6DC1"/>
    <w:rsid w:val="00A01788"/>
    <w:rsid w:val="00A05287"/>
    <w:rsid w:val="00A0599C"/>
    <w:rsid w:val="00A05C25"/>
    <w:rsid w:val="00A060EE"/>
    <w:rsid w:val="00A06743"/>
    <w:rsid w:val="00A06A38"/>
    <w:rsid w:val="00A070A2"/>
    <w:rsid w:val="00A109CF"/>
    <w:rsid w:val="00A10DAF"/>
    <w:rsid w:val="00A11A74"/>
    <w:rsid w:val="00A11AAB"/>
    <w:rsid w:val="00A12374"/>
    <w:rsid w:val="00A13675"/>
    <w:rsid w:val="00A16797"/>
    <w:rsid w:val="00A16F77"/>
    <w:rsid w:val="00A20FED"/>
    <w:rsid w:val="00A22F80"/>
    <w:rsid w:val="00A2452C"/>
    <w:rsid w:val="00A24B0A"/>
    <w:rsid w:val="00A24BA2"/>
    <w:rsid w:val="00A24BF7"/>
    <w:rsid w:val="00A2714D"/>
    <w:rsid w:val="00A3008D"/>
    <w:rsid w:val="00A301D7"/>
    <w:rsid w:val="00A32937"/>
    <w:rsid w:val="00A34171"/>
    <w:rsid w:val="00A34372"/>
    <w:rsid w:val="00A362D7"/>
    <w:rsid w:val="00A366B5"/>
    <w:rsid w:val="00A36A0F"/>
    <w:rsid w:val="00A36A61"/>
    <w:rsid w:val="00A4014B"/>
    <w:rsid w:val="00A40AF8"/>
    <w:rsid w:val="00A42129"/>
    <w:rsid w:val="00A42CC0"/>
    <w:rsid w:val="00A43EB0"/>
    <w:rsid w:val="00A46267"/>
    <w:rsid w:val="00A47210"/>
    <w:rsid w:val="00A51A64"/>
    <w:rsid w:val="00A5791D"/>
    <w:rsid w:val="00A57FAC"/>
    <w:rsid w:val="00A6063A"/>
    <w:rsid w:val="00A629FD"/>
    <w:rsid w:val="00A62F62"/>
    <w:rsid w:val="00A6379F"/>
    <w:rsid w:val="00A64197"/>
    <w:rsid w:val="00A65814"/>
    <w:rsid w:val="00A65CE1"/>
    <w:rsid w:val="00A666A4"/>
    <w:rsid w:val="00A732CA"/>
    <w:rsid w:val="00A740FB"/>
    <w:rsid w:val="00A741FA"/>
    <w:rsid w:val="00A74F1E"/>
    <w:rsid w:val="00A75247"/>
    <w:rsid w:val="00A758EE"/>
    <w:rsid w:val="00A776D2"/>
    <w:rsid w:val="00A778CC"/>
    <w:rsid w:val="00A802F1"/>
    <w:rsid w:val="00A81AED"/>
    <w:rsid w:val="00A83049"/>
    <w:rsid w:val="00A833B3"/>
    <w:rsid w:val="00A8362B"/>
    <w:rsid w:val="00A84241"/>
    <w:rsid w:val="00A85A9F"/>
    <w:rsid w:val="00A85FBF"/>
    <w:rsid w:val="00A86997"/>
    <w:rsid w:val="00A908B0"/>
    <w:rsid w:val="00A90D60"/>
    <w:rsid w:val="00A93649"/>
    <w:rsid w:val="00A94069"/>
    <w:rsid w:val="00A94701"/>
    <w:rsid w:val="00A9551A"/>
    <w:rsid w:val="00A96E0D"/>
    <w:rsid w:val="00AA01AF"/>
    <w:rsid w:val="00AA22C7"/>
    <w:rsid w:val="00AA265E"/>
    <w:rsid w:val="00AA3601"/>
    <w:rsid w:val="00AA4EDF"/>
    <w:rsid w:val="00AA5654"/>
    <w:rsid w:val="00AA7013"/>
    <w:rsid w:val="00AA79B6"/>
    <w:rsid w:val="00AA7DC6"/>
    <w:rsid w:val="00AB15BC"/>
    <w:rsid w:val="00AB2D93"/>
    <w:rsid w:val="00AB3021"/>
    <w:rsid w:val="00AB317A"/>
    <w:rsid w:val="00AB7252"/>
    <w:rsid w:val="00AB7C83"/>
    <w:rsid w:val="00AC4AE1"/>
    <w:rsid w:val="00AC69C2"/>
    <w:rsid w:val="00AC7AA1"/>
    <w:rsid w:val="00AC7AE1"/>
    <w:rsid w:val="00AD01AA"/>
    <w:rsid w:val="00AD04E8"/>
    <w:rsid w:val="00AD086E"/>
    <w:rsid w:val="00AD0EF3"/>
    <w:rsid w:val="00AD2187"/>
    <w:rsid w:val="00AD2635"/>
    <w:rsid w:val="00AD26D3"/>
    <w:rsid w:val="00AD3EB3"/>
    <w:rsid w:val="00AD5E6A"/>
    <w:rsid w:val="00AD62E6"/>
    <w:rsid w:val="00AD759B"/>
    <w:rsid w:val="00AE1259"/>
    <w:rsid w:val="00AE12C0"/>
    <w:rsid w:val="00AE1B67"/>
    <w:rsid w:val="00AE23AC"/>
    <w:rsid w:val="00AE2C80"/>
    <w:rsid w:val="00AE4716"/>
    <w:rsid w:val="00AE5169"/>
    <w:rsid w:val="00AE5260"/>
    <w:rsid w:val="00AE69D9"/>
    <w:rsid w:val="00AE6DB6"/>
    <w:rsid w:val="00AE6EDB"/>
    <w:rsid w:val="00AF12A3"/>
    <w:rsid w:val="00AF3E46"/>
    <w:rsid w:val="00AF4E03"/>
    <w:rsid w:val="00AF5D53"/>
    <w:rsid w:val="00B0051F"/>
    <w:rsid w:val="00B02533"/>
    <w:rsid w:val="00B02E27"/>
    <w:rsid w:val="00B0330C"/>
    <w:rsid w:val="00B033DC"/>
    <w:rsid w:val="00B051AB"/>
    <w:rsid w:val="00B0527B"/>
    <w:rsid w:val="00B066FB"/>
    <w:rsid w:val="00B1098A"/>
    <w:rsid w:val="00B10D41"/>
    <w:rsid w:val="00B11077"/>
    <w:rsid w:val="00B13841"/>
    <w:rsid w:val="00B1515A"/>
    <w:rsid w:val="00B15379"/>
    <w:rsid w:val="00B15B37"/>
    <w:rsid w:val="00B20D03"/>
    <w:rsid w:val="00B20DEB"/>
    <w:rsid w:val="00B2141E"/>
    <w:rsid w:val="00B23333"/>
    <w:rsid w:val="00B24CF3"/>
    <w:rsid w:val="00B2533D"/>
    <w:rsid w:val="00B261FA"/>
    <w:rsid w:val="00B26B22"/>
    <w:rsid w:val="00B26E50"/>
    <w:rsid w:val="00B27569"/>
    <w:rsid w:val="00B304CC"/>
    <w:rsid w:val="00B30B16"/>
    <w:rsid w:val="00B3188C"/>
    <w:rsid w:val="00B323EF"/>
    <w:rsid w:val="00B32767"/>
    <w:rsid w:val="00B33820"/>
    <w:rsid w:val="00B35A79"/>
    <w:rsid w:val="00B35C59"/>
    <w:rsid w:val="00B37508"/>
    <w:rsid w:val="00B413E6"/>
    <w:rsid w:val="00B434F2"/>
    <w:rsid w:val="00B45B71"/>
    <w:rsid w:val="00B47153"/>
    <w:rsid w:val="00B473B9"/>
    <w:rsid w:val="00B47FB0"/>
    <w:rsid w:val="00B5009E"/>
    <w:rsid w:val="00B551C0"/>
    <w:rsid w:val="00B564E7"/>
    <w:rsid w:val="00B57A95"/>
    <w:rsid w:val="00B62B71"/>
    <w:rsid w:val="00B63EB9"/>
    <w:rsid w:val="00B667A7"/>
    <w:rsid w:val="00B70338"/>
    <w:rsid w:val="00B715DA"/>
    <w:rsid w:val="00B71601"/>
    <w:rsid w:val="00B733F0"/>
    <w:rsid w:val="00B7603D"/>
    <w:rsid w:val="00B777F7"/>
    <w:rsid w:val="00B80B19"/>
    <w:rsid w:val="00B8172F"/>
    <w:rsid w:val="00B85BF0"/>
    <w:rsid w:val="00B85E48"/>
    <w:rsid w:val="00B874C7"/>
    <w:rsid w:val="00B87A7A"/>
    <w:rsid w:val="00B906FE"/>
    <w:rsid w:val="00B91367"/>
    <w:rsid w:val="00B91369"/>
    <w:rsid w:val="00B958C2"/>
    <w:rsid w:val="00B95B39"/>
    <w:rsid w:val="00B9604E"/>
    <w:rsid w:val="00B962E9"/>
    <w:rsid w:val="00B96D87"/>
    <w:rsid w:val="00B97D18"/>
    <w:rsid w:val="00B97DF6"/>
    <w:rsid w:val="00BA1791"/>
    <w:rsid w:val="00BA1E3B"/>
    <w:rsid w:val="00BA4976"/>
    <w:rsid w:val="00BA5493"/>
    <w:rsid w:val="00BB097D"/>
    <w:rsid w:val="00BB23EF"/>
    <w:rsid w:val="00BB6D21"/>
    <w:rsid w:val="00BB70FA"/>
    <w:rsid w:val="00BB77EC"/>
    <w:rsid w:val="00BC03BB"/>
    <w:rsid w:val="00BC1B2C"/>
    <w:rsid w:val="00BC1C22"/>
    <w:rsid w:val="00BC522A"/>
    <w:rsid w:val="00BC650A"/>
    <w:rsid w:val="00BC6AA1"/>
    <w:rsid w:val="00BD1246"/>
    <w:rsid w:val="00BD218C"/>
    <w:rsid w:val="00BD228F"/>
    <w:rsid w:val="00BD4893"/>
    <w:rsid w:val="00BD4F1D"/>
    <w:rsid w:val="00BD6B1C"/>
    <w:rsid w:val="00BD7F14"/>
    <w:rsid w:val="00BE09AD"/>
    <w:rsid w:val="00BE1B3F"/>
    <w:rsid w:val="00BE22D6"/>
    <w:rsid w:val="00BE2891"/>
    <w:rsid w:val="00BE2C15"/>
    <w:rsid w:val="00BE6510"/>
    <w:rsid w:val="00BE6615"/>
    <w:rsid w:val="00BF25F3"/>
    <w:rsid w:val="00BF36AF"/>
    <w:rsid w:val="00BF48B7"/>
    <w:rsid w:val="00BF5A94"/>
    <w:rsid w:val="00BF6731"/>
    <w:rsid w:val="00BF7D67"/>
    <w:rsid w:val="00C01A25"/>
    <w:rsid w:val="00C01DE0"/>
    <w:rsid w:val="00C02DD5"/>
    <w:rsid w:val="00C0309F"/>
    <w:rsid w:val="00C03286"/>
    <w:rsid w:val="00C0631E"/>
    <w:rsid w:val="00C07608"/>
    <w:rsid w:val="00C07C6B"/>
    <w:rsid w:val="00C07D1A"/>
    <w:rsid w:val="00C1081D"/>
    <w:rsid w:val="00C1147E"/>
    <w:rsid w:val="00C12287"/>
    <w:rsid w:val="00C1323B"/>
    <w:rsid w:val="00C14918"/>
    <w:rsid w:val="00C15DC9"/>
    <w:rsid w:val="00C160F7"/>
    <w:rsid w:val="00C170D8"/>
    <w:rsid w:val="00C2063A"/>
    <w:rsid w:val="00C22537"/>
    <w:rsid w:val="00C2268D"/>
    <w:rsid w:val="00C22A0E"/>
    <w:rsid w:val="00C22BDF"/>
    <w:rsid w:val="00C24A80"/>
    <w:rsid w:val="00C2547C"/>
    <w:rsid w:val="00C255C3"/>
    <w:rsid w:val="00C27A0D"/>
    <w:rsid w:val="00C27BD3"/>
    <w:rsid w:val="00C31D45"/>
    <w:rsid w:val="00C31EA1"/>
    <w:rsid w:val="00C32287"/>
    <w:rsid w:val="00C333E4"/>
    <w:rsid w:val="00C33DED"/>
    <w:rsid w:val="00C3418F"/>
    <w:rsid w:val="00C34C09"/>
    <w:rsid w:val="00C50993"/>
    <w:rsid w:val="00C51AB6"/>
    <w:rsid w:val="00C573D4"/>
    <w:rsid w:val="00C601B0"/>
    <w:rsid w:val="00C62D9B"/>
    <w:rsid w:val="00C62FFA"/>
    <w:rsid w:val="00C6377F"/>
    <w:rsid w:val="00C6379F"/>
    <w:rsid w:val="00C63D92"/>
    <w:rsid w:val="00C6789A"/>
    <w:rsid w:val="00C71D72"/>
    <w:rsid w:val="00C72249"/>
    <w:rsid w:val="00C72F3A"/>
    <w:rsid w:val="00C74B77"/>
    <w:rsid w:val="00C7625F"/>
    <w:rsid w:val="00C77649"/>
    <w:rsid w:val="00C77940"/>
    <w:rsid w:val="00C77BFC"/>
    <w:rsid w:val="00C8132F"/>
    <w:rsid w:val="00C83401"/>
    <w:rsid w:val="00C83B9F"/>
    <w:rsid w:val="00C90D16"/>
    <w:rsid w:val="00C934F6"/>
    <w:rsid w:val="00C935B5"/>
    <w:rsid w:val="00C93A3C"/>
    <w:rsid w:val="00C948BA"/>
    <w:rsid w:val="00C95BF5"/>
    <w:rsid w:val="00C96E4F"/>
    <w:rsid w:val="00C9756C"/>
    <w:rsid w:val="00CA0EBE"/>
    <w:rsid w:val="00CA150D"/>
    <w:rsid w:val="00CA2514"/>
    <w:rsid w:val="00CA2BF4"/>
    <w:rsid w:val="00CA4999"/>
    <w:rsid w:val="00CA5F3C"/>
    <w:rsid w:val="00CA7012"/>
    <w:rsid w:val="00CB1670"/>
    <w:rsid w:val="00CB301D"/>
    <w:rsid w:val="00CB3571"/>
    <w:rsid w:val="00CB42C7"/>
    <w:rsid w:val="00CB580B"/>
    <w:rsid w:val="00CB5B34"/>
    <w:rsid w:val="00CB7822"/>
    <w:rsid w:val="00CC13B4"/>
    <w:rsid w:val="00CC18DF"/>
    <w:rsid w:val="00CC1D50"/>
    <w:rsid w:val="00CC23AD"/>
    <w:rsid w:val="00CC35D7"/>
    <w:rsid w:val="00CC3605"/>
    <w:rsid w:val="00CC3967"/>
    <w:rsid w:val="00CC4892"/>
    <w:rsid w:val="00CC5CE3"/>
    <w:rsid w:val="00CC6E94"/>
    <w:rsid w:val="00CD0C37"/>
    <w:rsid w:val="00CD18BC"/>
    <w:rsid w:val="00CD29BD"/>
    <w:rsid w:val="00CD45C6"/>
    <w:rsid w:val="00CD4B06"/>
    <w:rsid w:val="00CD504B"/>
    <w:rsid w:val="00CD5550"/>
    <w:rsid w:val="00CD6DFE"/>
    <w:rsid w:val="00CD7009"/>
    <w:rsid w:val="00CD7388"/>
    <w:rsid w:val="00CD74A6"/>
    <w:rsid w:val="00CE19EA"/>
    <w:rsid w:val="00CE30B6"/>
    <w:rsid w:val="00CE32E2"/>
    <w:rsid w:val="00CE43E7"/>
    <w:rsid w:val="00CF06B6"/>
    <w:rsid w:val="00CF0DFD"/>
    <w:rsid w:val="00CF1A33"/>
    <w:rsid w:val="00CF1F90"/>
    <w:rsid w:val="00CF57D5"/>
    <w:rsid w:val="00CF5A1E"/>
    <w:rsid w:val="00D039C6"/>
    <w:rsid w:val="00D0452A"/>
    <w:rsid w:val="00D0523C"/>
    <w:rsid w:val="00D06A77"/>
    <w:rsid w:val="00D073A8"/>
    <w:rsid w:val="00D12C49"/>
    <w:rsid w:val="00D14BFC"/>
    <w:rsid w:val="00D15CEC"/>
    <w:rsid w:val="00D17155"/>
    <w:rsid w:val="00D2043B"/>
    <w:rsid w:val="00D20802"/>
    <w:rsid w:val="00D20A46"/>
    <w:rsid w:val="00D23210"/>
    <w:rsid w:val="00D23396"/>
    <w:rsid w:val="00D245BF"/>
    <w:rsid w:val="00D24AF6"/>
    <w:rsid w:val="00D25FDD"/>
    <w:rsid w:val="00D30896"/>
    <w:rsid w:val="00D30DC6"/>
    <w:rsid w:val="00D31AD1"/>
    <w:rsid w:val="00D31D56"/>
    <w:rsid w:val="00D32C60"/>
    <w:rsid w:val="00D3471B"/>
    <w:rsid w:val="00D36BCE"/>
    <w:rsid w:val="00D37AB1"/>
    <w:rsid w:val="00D40825"/>
    <w:rsid w:val="00D41D63"/>
    <w:rsid w:val="00D422EE"/>
    <w:rsid w:val="00D43142"/>
    <w:rsid w:val="00D4355B"/>
    <w:rsid w:val="00D438C0"/>
    <w:rsid w:val="00D444A2"/>
    <w:rsid w:val="00D4519B"/>
    <w:rsid w:val="00D461C9"/>
    <w:rsid w:val="00D467A0"/>
    <w:rsid w:val="00D477BD"/>
    <w:rsid w:val="00D50D20"/>
    <w:rsid w:val="00D51EAE"/>
    <w:rsid w:val="00D5231A"/>
    <w:rsid w:val="00D53459"/>
    <w:rsid w:val="00D53664"/>
    <w:rsid w:val="00D54361"/>
    <w:rsid w:val="00D5635D"/>
    <w:rsid w:val="00D57177"/>
    <w:rsid w:val="00D5792B"/>
    <w:rsid w:val="00D6076D"/>
    <w:rsid w:val="00D60C46"/>
    <w:rsid w:val="00D61473"/>
    <w:rsid w:val="00D62927"/>
    <w:rsid w:val="00D65663"/>
    <w:rsid w:val="00D6729B"/>
    <w:rsid w:val="00D7446A"/>
    <w:rsid w:val="00D75DFB"/>
    <w:rsid w:val="00D75EF8"/>
    <w:rsid w:val="00D81888"/>
    <w:rsid w:val="00D819C0"/>
    <w:rsid w:val="00D841AB"/>
    <w:rsid w:val="00D862A2"/>
    <w:rsid w:val="00D90943"/>
    <w:rsid w:val="00D91B5F"/>
    <w:rsid w:val="00D92187"/>
    <w:rsid w:val="00D9442A"/>
    <w:rsid w:val="00D94A30"/>
    <w:rsid w:val="00D95699"/>
    <w:rsid w:val="00D95FB4"/>
    <w:rsid w:val="00D97B4C"/>
    <w:rsid w:val="00D97B66"/>
    <w:rsid w:val="00D97DF0"/>
    <w:rsid w:val="00DA0709"/>
    <w:rsid w:val="00DA2901"/>
    <w:rsid w:val="00DA55E2"/>
    <w:rsid w:val="00DA674E"/>
    <w:rsid w:val="00DB03BE"/>
    <w:rsid w:val="00DB0BF5"/>
    <w:rsid w:val="00DB1763"/>
    <w:rsid w:val="00DB1E7C"/>
    <w:rsid w:val="00DB22A0"/>
    <w:rsid w:val="00DB2E06"/>
    <w:rsid w:val="00DB33F1"/>
    <w:rsid w:val="00DB35B0"/>
    <w:rsid w:val="00DB47E5"/>
    <w:rsid w:val="00DB5071"/>
    <w:rsid w:val="00DB51CD"/>
    <w:rsid w:val="00DB5A20"/>
    <w:rsid w:val="00DB6B73"/>
    <w:rsid w:val="00DB6CAE"/>
    <w:rsid w:val="00DB6FBA"/>
    <w:rsid w:val="00DC07DB"/>
    <w:rsid w:val="00DC1274"/>
    <w:rsid w:val="00DC1F5D"/>
    <w:rsid w:val="00DC220E"/>
    <w:rsid w:val="00DC2AF7"/>
    <w:rsid w:val="00DC42C6"/>
    <w:rsid w:val="00DC5480"/>
    <w:rsid w:val="00DC56C2"/>
    <w:rsid w:val="00DC614F"/>
    <w:rsid w:val="00DC6A97"/>
    <w:rsid w:val="00DC7F61"/>
    <w:rsid w:val="00DD0828"/>
    <w:rsid w:val="00DD1196"/>
    <w:rsid w:val="00DD1E9A"/>
    <w:rsid w:val="00DD297B"/>
    <w:rsid w:val="00DD3081"/>
    <w:rsid w:val="00DD3D04"/>
    <w:rsid w:val="00DD423D"/>
    <w:rsid w:val="00DD4F4C"/>
    <w:rsid w:val="00DD542C"/>
    <w:rsid w:val="00DD6AE6"/>
    <w:rsid w:val="00DD71B5"/>
    <w:rsid w:val="00DD7D41"/>
    <w:rsid w:val="00DE020A"/>
    <w:rsid w:val="00DE07FE"/>
    <w:rsid w:val="00DE4DE9"/>
    <w:rsid w:val="00DE7F98"/>
    <w:rsid w:val="00DF14F6"/>
    <w:rsid w:val="00DF2E42"/>
    <w:rsid w:val="00DF31B0"/>
    <w:rsid w:val="00DF3A07"/>
    <w:rsid w:val="00DF3D8D"/>
    <w:rsid w:val="00DF3E35"/>
    <w:rsid w:val="00DF5ABE"/>
    <w:rsid w:val="00DF638E"/>
    <w:rsid w:val="00DF6462"/>
    <w:rsid w:val="00DF652E"/>
    <w:rsid w:val="00DF6929"/>
    <w:rsid w:val="00DF733F"/>
    <w:rsid w:val="00DF75A1"/>
    <w:rsid w:val="00DF793A"/>
    <w:rsid w:val="00E0099D"/>
    <w:rsid w:val="00E00AD4"/>
    <w:rsid w:val="00E01CFE"/>
    <w:rsid w:val="00E025A8"/>
    <w:rsid w:val="00E02DC8"/>
    <w:rsid w:val="00E04436"/>
    <w:rsid w:val="00E04EBD"/>
    <w:rsid w:val="00E07211"/>
    <w:rsid w:val="00E10689"/>
    <w:rsid w:val="00E11E1F"/>
    <w:rsid w:val="00E128A1"/>
    <w:rsid w:val="00E12B62"/>
    <w:rsid w:val="00E13791"/>
    <w:rsid w:val="00E14EC9"/>
    <w:rsid w:val="00E15D7B"/>
    <w:rsid w:val="00E2071A"/>
    <w:rsid w:val="00E213A5"/>
    <w:rsid w:val="00E2261A"/>
    <w:rsid w:val="00E22F1D"/>
    <w:rsid w:val="00E233BF"/>
    <w:rsid w:val="00E23771"/>
    <w:rsid w:val="00E30BBE"/>
    <w:rsid w:val="00E30D3D"/>
    <w:rsid w:val="00E311D9"/>
    <w:rsid w:val="00E318C6"/>
    <w:rsid w:val="00E33723"/>
    <w:rsid w:val="00E347AE"/>
    <w:rsid w:val="00E36886"/>
    <w:rsid w:val="00E36B40"/>
    <w:rsid w:val="00E4196E"/>
    <w:rsid w:val="00E41C6E"/>
    <w:rsid w:val="00E42AD6"/>
    <w:rsid w:val="00E44723"/>
    <w:rsid w:val="00E45359"/>
    <w:rsid w:val="00E47F0E"/>
    <w:rsid w:val="00E47F25"/>
    <w:rsid w:val="00E50893"/>
    <w:rsid w:val="00E51124"/>
    <w:rsid w:val="00E51DFA"/>
    <w:rsid w:val="00E542E4"/>
    <w:rsid w:val="00E550E7"/>
    <w:rsid w:val="00E5593B"/>
    <w:rsid w:val="00E6563A"/>
    <w:rsid w:val="00E657FB"/>
    <w:rsid w:val="00E66045"/>
    <w:rsid w:val="00E67306"/>
    <w:rsid w:val="00E72C67"/>
    <w:rsid w:val="00E73BA3"/>
    <w:rsid w:val="00E73D70"/>
    <w:rsid w:val="00E758A7"/>
    <w:rsid w:val="00E770CC"/>
    <w:rsid w:val="00E80803"/>
    <w:rsid w:val="00E82015"/>
    <w:rsid w:val="00E825D2"/>
    <w:rsid w:val="00E83072"/>
    <w:rsid w:val="00E850B9"/>
    <w:rsid w:val="00E859CE"/>
    <w:rsid w:val="00E86E28"/>
    <w:rsid w:val="00E92479"/>
    <w:rsid w:val="00E937C0"/>
    <w:rsid w:val="00E94C94"/>
    <w:rsid w:val="00E9553B"/>
    <w:rsid w:val="00E96EB3"/>
    <w:rsid w:val="00E97B98"/>
    <w:rsid w:val="00EA12C7"/>
    <w:rsid w:val="00EA1CAE"/>
    <w:rsid w:val="00EA3C09"/>
    <w:rsid w:val="00EA6673"/>
    <w:rsid w:val="00EA683E"/>
    <w:rsid w:val="00EB2078"/>
    <w:rsid w:val="00EB22ED"/>
    <w:rsid w:val="00EB2714"/>
    <w:rsid w:val="00EB3A22"/>
    <w:rsid w:val="00EB4024"/>
    <w:rsid w:val="00EB499F"/>
    <w:rsid w:val="00EB4DFD"/>
    <w:rsid w:val="00EB4EA4"/>
    <w:rsid w:val="00EC0A4C"/>
    <w:rsid w:val="00EC1C2D"/>
    <w:rsid w:val="00EC3525"/>
    <w:rsid w:val="00EC684C"/>
    <w:rsid w:val="00EC7008"/>
    <w:rsid w:val="00EC75C3"/>
    <w:rsid w:val="00EC7C63"/>
    <w:rsid w:val="00ED0D01"/>
    <w:rsid w:val="00ED0DE7"/>
    <w:rsid w:val="00ED0E0E"/>
    <w:rsid w:val="00ED3A5A"/>
    <w:rsid w:val="00ED7226"/>
    <w:rsid w:val="00EE1044"/>
    <w:rsid w:val="00EE1EC7"/>
    <w:rsid w:val="00EE480F"/>
    <w:rsid w:val="00EE5099"/>
    <w:rsid w:val="00EE58B0"/>
    <w:rsid w:val="00EE7651"/>
    <w:rsid w:val="00EF027B"/>
    <w:rsid w:val="00EF0444"/>
    <w:rsid w:val="00EF0E92"/>
    <w:rsid w:val="00EF0F39"/>
    <w:rsid w:val="00EF30DD"/>
    <w:rsid w:val="00EF344A"/>
    <w:rsid w:val="00EF4E0C"/>
    <w:rsid w:val="00EF58F0"/>
    <w:rsid w:val="00EF7F54"/>
    <w:rsid w:val="00F01B59"/>
    <w:rsid w:val="00F037E9"/>
    <w:rsid w:val="00F0394A"/>
    <w:rsid w:val="00F03E17"/>
    <w:rsid w:val="00F049E6"/>
    <w:rsid w:val="00F059A5"/>
    <w:rsid w:val="00F0634D"/>
    <w:rsid w:val="00F13356"/>
    <w:rsid w:val="00F13F5D"/>
    <w:rsid w:val="00F15139"/>
    <w:rsid w:val="00F15FEB"/>
    <w:rsid w:val="00F209F7"/>
    <w:rsid w:val="00F220D4"/>
    <w:rsid w:val="00F22A1A"/>
    <w:rsid w:val="00F255F5"/>
    <w:rsid w:val="00F26147"/>
    <w:rsid w:val="00F262B1"/>
    <w:rsid w:val="00F269FA"/>
    <w:rsid w:val="00F32300"/>
    <w:rsid w:val="00F35625"/>
    <w:rsid w:val="00F35C14"/>
    <w:rsid w:val="00F35E72"/>
    <w:rsid w:val="00F36192"/>
    <w:rsid w:val="00F3739B"/>
    <w:rsid w:val="00F40D8B"/>
    <w:rsid w:val="00F412E3"/>
    <w:rsid w:val="00F43662"/>
    <w:rsid w:val="00F43DB5"/>
    <w:rsid w:val="00F44798"/>
    <w:rsid w:val="00F458E1"/>
    <w:rsid w:val="00F472D5"/>
    <w:rsid w:val="00F506CE"/>
    <w:rsid w:val="00F51CDD"/>
    <w:rsid w:val="00F5262D"/>
    <w:rsid w:val="00F52F7E"/>
    <w:rsid w:val="00F54234"/>
    <w:rsid w:val="00F638DB"/>
    <w:rsid w:val="00F64915"/>
    <w:rsid w:val="00F6541A"/>
    <w:rsid w:val="00F656E7"/>
    <w:rsid w:val="00F65E93"/>
    <w:rsid w:val="00F714C8"/>
    <w:rsid w:val="00F716DD"/>
    <w:rsid w:val="00F725AF"/>
    <w:rsid w:val="00F746C9"/>
    <w:rsid w:val="00F75238"/>
    <w:rsid w:val="00F7530C"/>
    <w:rsid w:val="00F75C9E"/>
    <w:rsid w:val="00F760BB"/>
    <w:rsid w:val="00F77538"/>
    <w:rsid w:val="00F80F0D"/>
    <w:rsid w:val="00F813ED"/>
    <w:rsid w:val="00F8232A"/>
    <w:rsid w:val="00F83B39"/>
    <w:rsid w:val="00F83D49"/>
    <w:rsid w:val="00F842FA"/>
    <w:rsid w:val="00F84A6D"/>
    <w:rsid w:val="00F84C58"/>
    <w:rsid w:val="00F84FC5"/>
    <w:rsid w:val="00F85190"/>
    <w:rsid w:val="00F861E7"/>
    <w:rsid w:val="00F86EC6"/>
    <w:rsid w:val="00F878B4"/>
    <w:rsid w:val="00F87BC8"/>
    <w:rsid w:val="00F90708"/>
    <w:rsid w:val="00F92917"/>
    <w:rsid w:val="00F929B3"/>
    <w:rsid w:val="00F92C17"/>
    <w:rsid w:val="00F931F2"/>
    <w:rsid w:val="00F93944"/>
    <w:rsid w:val="00F94050"/>
    <w:rsid w:val="00F96CBC"/>
    <w:rsid w:val="00FA0188"/>
    <w:rsid w:val="00FA1FBD"/>
    <w:rsid w:val="00FA2418"/>
    <w:rsid w:val="00FA41AE"/>
    <w:rsid w:val="00FA4A32"/>
    <w:rsid w:val="00FA6D13"/>
    <w:rsid w:val="00FB07CC"/>
    <w:rsid w:val="00FB0D63"/>
    <w:rsid w:val="00FB11E6"/>
    <w:rsid w:val="00FB15E0"/>
    <w:rsid w:val="00FB210B"/>
    <w:rsid w:val="00FB3187"/>
    <w:rsid w:val="00FB4E61"/>
    <w:rsid w:val="00FB5357"/>
    <w:rsid w:val="00FB69EB"/>
    <w:rsid w:val="00FB70BE"/>
    <w:rsid w:val="00FB7FFA"/>
    <w:rsid w:val="00FC10B1"/>
    <w:rsid w:val="00FC3A01"/>
    <w:rsid w:val="00FC673E"/>
    <w:rsid w:val="00FD09D7"/>
    <w:rsid w:val="00FD0FB7"/>
    <w:rsid w:val="00FD1C0F"/>
    <w:rsid w:val="00FD233B"/>
    <w:rsid w:val="00FD3A63"/>
    <w:rsid w:val="00FD43EE"/>
    <w:rsid w:val="00FD5103"/>
    <w:rsid w:val="00FD5CC3"/>
    <w:rsid w:val="00FD6575"/>
    <w:rsid w:val="00FD6624"/>
    <w:rsid w:val="00FD6C7B"/>
    <w:rsid w:val="00FD6CBE"/>
    <w:rsid w:val="00FD7073"/>
    <w:rsid w:val="00FE0700"/>
    <w:rsid w:val="00FE1D07"/>
    <w:rsid w:val="00FE23DD"/>
    <w:rsid w:val="00FE2CEC"/>
    <w:rsid w:val="00FE7CA4"/>
    <w:rsid w:val="00FE7CC6"/>
    <w:rsid w:val="00FF0D99"/>
    <w:rsid w:val="00FF137C"/>
    <w:rsid w:val="00FF28C8"/>
    <w:rsid w:val="00FF36BF"/>
    <w:rsid w:val="00FF384C"/>
    <w:rsid w:val="00FF653F"/>
    <w:rsid w:val="00FF7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E022F"/>
  <w15:docId w15:val="{B5606080-A1B2-474A-9621-43E50044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B88"/>
    <w:pPr>
      <w:overflowPunct w:val="0"/>
      <w:autoSpaceDE w:val="0"/>
      <w:autoSpaceDN w:val="0"/>
      <w:adjustRightInd w:val="0"/>
      <w:textAlignment w:val="baseline"/>
    </w:pPr>
    <w:rPr>
      <w:rFonts w:asciiTheme="minorHAnsi" w:hAnsiTheme="minorHAnsi"/>
      <w:sz w:val="24"/>
    </w:rPr>
  </w:style>
  <w:style w:type="paragraph" w:styleId="Titre1">
    <w:name w:val="heading 1"/>
    <w:basedOn w:val="Normal"/>
    <w:next w:val="Normal"/>
    <w:link w:val="Titre1Car"/>
    <w:qFormat/>
    <w:rsid w:val="00711885"/>
    <w:pPr>
      <w:keepNext/>
      <w:keepLines/>
      <w:spacing w:before="480"/>
      <w:jc w:val="center"/>
      <w:outlineLvl w:val="0"/>
    </w:pPr>
    <w:rPr>
      <w:rFonts w:eastAsiaTheme="majorEastAsia" w:cstheme="majorBidi"/>
      <w:b/>
      <w:bCs/>
      <w:color w:val="00B050"/>
      <w:sz w:val="32"/>
      <w:szCs w:val="28"/>
      <w:u w:val="single"/>
    </w:rPr>
  </w:style>
  <w:style w:type="paragraph" w:styleId="Titre2">
    <w:name w:val="heading 2"/>
    <w:basedOn w:val="Normal"/>
    <w:qFormat/>
    <w:rsid w:val="00252F1E"/>
    <w:pPr>
      <w:spacing w:before="100" w:after="100"/>
      <w:outlineLvl w:val="1"/>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rsid w:val="00252F1E"/>
    <w:rPr>
      <w:color w:val="0000FF"/>
      <w:u w:val="single"/>
    </w:rPr>
  </w:style>
  <w:style w:type="paragraph" w:styleId="NormalWeb">
    <w:name w:val="Normal (Web)"/>
    <w:basedOn w:val="Normal"/>
    <w:uiPriority w:val="99"/>
    <w:rsid w:val="00252F1E"/>
    <w:pPr>
      <w:spacing w:before="100" w:after="100"/>
    </w:pPr>
  </w:style>
  <w:style w:type="character" w:customStyle="1" w:styleId="fontfamilyspecialtextfontsizesmallfontcolorlegend">
    <w:name w:val="fontfamilyspecialtext fontsizesmall fontcolorlegend"/>
    <w:basedOn w:val="Policepardfaut"/>
    <w:rsid w:val="00252F1E"/>
  </w:style>
  <w:style w:type="paragraph" w:styleId="Textedebulles">
    <w:name w:val="Balloon Text"/>
    <w:basedOn w:val="Normal"/>
    <w:semiHidden/>
    <w:rsid w:val="008E404B"/>
    <w:rPr>
      <w:rFonts w:ascii="Tahoma" w:hAnsi="Tahoma" w:cs="Tahoma"/>
      <w:sz w:val="16"/>
      <w:szCs w:val="16"/>
    </w:rPr>
  </w:style>
  <w:style w:type="character" w:styleId="Lienhypertexte">
    <w:name w:val="Hyperlink"/>
    <w:uiPriority w:val="99"/>
    <w:rsid w:val="00AB7C83"/>
    <w:rPr>
      <w:color w:val="0000FF"/>
      <w:u w:val="single"/>
    </w:rPr>
  </w:style>
  <w:style w:type="paragraph" w:styleId="En-tte">
    <w:name w:val="header"/>
    <w:basedOn w:val="Normal"/>
    <w:link w:val="En-tteCar"/>
    <w:uiPriority w:val="99"/>
    <w:rsid w:val="005D075A"/>
    <w:pPr>
      <w:tabs>
        <w:tab w:val="center" w:pos="4536"/>
        <w:tab w:val="right" w:pos="9072"/>
      </w:tabs>
    </w:pPr>
  </w:style>
  <w:style w:type="character" w:customStyle="1" w:styleId="En-tteCar">
    <w:name w:val="En-tête Car"/>
    <w:link w:val="En-tte"/>
    <w:uiPriority w:val="99"/>
    <w:rsid w:val="005D075A"/>
    <w:rPr>
      <w:sz w:val="24"/>
    </w:rPr>
  </w:style>
  <w:style w:type="paragraph" w:styleId="Pieddepage">
    <w:name w:val="footer"/>
    <w:basedOn w:val="Normal"/>
    <w:link w:val="PieddepageCar"/>
    <w:uiPriority w:val="99"/>
    <w:rsid w:val="005D075A"/>
    <w:pPr>
      <w:tabs>
        <w:tab w:val="center" w:pos="4536"/>
        <w:tab w:val="right" w:pos="9072"/>
      </w:tabs>
    </w:pPr>
  </w:style>
  <w:style w:type="character" w:customStyle="1" w:styleId="PieddepageCar">
    <w:name w:val="Pied de page Car"/>
    <w:link w:val="Pieddepage"/>
    <w:uiPriority w:val="99"/>
    <w:rsid w:val="005D075A"/>
    <w:rPr>
      <w:sz w:val="24"/>
    </w:rPr>
  </w:style>
  <w:style w:type="paragraph" w:styleId="Paragraphedeliste">
    <w:name w:val="List Paragraph"/>
    <w:basedOn w:val="Normal"/>
    <w:uiPriority w:val="34"/>
    <w:qFormat/>
    <w:rsid w:val="00CB42C7"/>
    <w:pPr>
      <w:ind w:left="720"/>
      <w:contextualSpacing/>
    </w:pPr>
  </w:style>
  <w:style w:type="character" w:styleId="Lienhypertextesuivivisit">
    <w:name w:val="FollowedHyperlink"/>
    <w:rsid w:val="00B564E7"/>
    <w:rPr>
      <w:color w:val="800080"/>
      <w:u w:val="single"/>
    </w:rPr>
  </w:style>
  <w:style w:type="character" w:styleId="Marquedecommentaire">
    <w:name w:val="annotation reference"/>
    <w:rsid w:val="0060393E"/>
    <w:rPr>
      <w:sz w:val="16"/>
      <w:szCs w:val="16"/>
    </w:rPr>
  </w:style>
  <w:style w:type="paragraph" w:styleId="Commentaire">
    <w:name w:val="annotation text"/>
    <w:basedOn w:val="Normal"/>
    <w:link w:val="CommentaireCar"/>
    <w:rsid w:val="0060393E"/>
    <w:rPr>
      <w:sz w:val="20"/>
    </w:rPr>
  </w:style>
  <w:style w:type="character" w:customStyle="1" w:styleId="CommentaireCar">
    <w:name w:val="Commentaire Car"/>
    <w:basedOn w:val="Policepardfaut"/>
    <w:link w:val="Commentaire"/>
    <w:rsid w:val="0060393E"/>
  </w:style>
  <w:style w:type="paragraph" w:styleId="Objetducommentaire">
    <w:name w:val="annotation subject"/>
    <w:basedOn w:val="Commentaire"/>
    <w:next w:val="Commentaire"/>
    <w:link w:val="ObjetducommentaireCar"/>
    <w:rsid w:val="0060393E"/>
    <w:rPr>
      <w:b/>
      <w:bCs/>
    </w:rPr>
  </w:style>
  <w:style w:type="character" w:customStyle="1" w:styleId="ObjetducommentaireCar">
    <w:name w:val="Objet du commentaire Car"/>
    <w:link w:val="Objetducommentaire"/>
    <w:rsid w:val="0060393E"/>
    <w:rPr>
      <w:b/>
      <w:bCs/>
    </w:rPr>
  </w:style>
  <w:style w:type="character" w:customStyle="1" w:styleId="highlight">
    <w:name w:val="highlight"/>
    <w:basedOn w:val="Policepardfaut"/>
    <w:rsid w:val="0060393E"/>
  </w:style>
  <w:style w:type="table" w:styleId="Grilledutableau">
    <w:name w:val="Table Grid"/>
    <w:basedOn w:val="TableauNormal"/>
    <w:uiPriority w:val="59"/>
    <w:rsid w:val="00AB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11885"/>
    <w:rPr>
      <w:rFonts w:asciiTheme="minorHAnsi" w:eastAsiaTheme="majorEastAsia" w:hAnsiTheme="minorHAnsi" w:cstheme="majorBidi"/>
      <w:b/>
      <w:bCs/>
      <w:color w:val="00B050"/>
      <w:sz w:val="32"/>
      <w:szCs w:val="28"/>
      <w:u w:val="single"/>
    </w:rPr>
  </w:style>
  <w:style w:type="paragraph" w:styleId="En-ttedetabledesmatires">
    <w:name w:val="TOC Heading"/>
    <w:basedOn w:val="Titre1"/>
    <w:next w:val="Normal"/>
    <w:uiPriority w:val="39"/>
    <w:unhideWhenUsed/>
    <w:qFormat/>
    <w:rsid w:val="00D31D56"/>
    <w:pPr>
      <w:overflowPunct/>
      <w:autoSpaceDE/>
      <w:autoSpaceDN/>
      <w:adjustRightInd/>
      <w:spacing w:line="276" w:lineRule="auto"/>
      <w:textAlignment w:val="auto"/>
      <w:outlineLvl w:val="9"/>
    </w:pPr>
  </w:style>
  <w:style w:type="paragraph" w:styleId="Titre">
    <w:name w:val="Title"/>
    <w:basedOn w:val="Normal"/>
    <w:next w:val="Normal"/>
    <w:link w:val="TitreCar"/>
    <w:qFormat/>
    <w:rsid w:val="00D31D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D31D56"/>
    <w:rPr>
      <w:rFonts w:asciiTheme="majorHAnsi" w:eastAsiaTheme="majorEastAsia" w:hAnsiTheme="majorHAnsi" w:cstheme="majorBidi"/>
      <w:color w:val="17365D" w:themeColor="text2" w:themeShade="BF"/>
      <w:spacing w:val="5"/>
      <w:kern w:val="28"/>
      <w:sz w:val="52"/>
      <w:szCs w:val="52"/>
    </w:rPr>
  </w:style>
  <w:style w:type="paragraph" w:styleId="TM1">
    <w:name w:val="toc 1"/>
    <w:basedOn w:val="Normal"/>
    <w:next w:val="Normal"/>
    <w:autoRedefine/>
    <w:uiPriority w:val="39"/>
    <w:rsid w:val="00D31D56"/>
    <w:pPr>
      <w:spacing w:after="100"/>
    </w:pPr>
  </w:style>
  <w:style w:type="paragraph" w:customStyle="1" w:styleId="Corpsdetexte2">
    <w:name w:val="Corps de texte2"/>
    <w:basedOn w:val="Corpsdetexte"/>
    <w:rsid w:val="005B123F"/>
    <w:pPr>
      <w:overflowPunct/>
      <w:autoSpaceDE/>
      <w:autoSpaceDN/>
      <w:adjustRightInd/>
      <w:spacing w:after="160"/>
      <w:ind w:left="578"/>
      <w:jc w:val="both"/>
      <w:textAlignment w:val="auto"/>
    </w:pPr>
    <w:rPr>
      <w:rFonts w:ascii="Arial" w:hAnsi="Arial"/>
      <w:sz w:val="20"/>
      <w:szCs w:val="24"/>
      <w:lang w:val="fr-BE"/>
    </w:rPr>
  </w:style>
  <w:style w:type="paragraph" w:styleId="Corpsdetexte">
    <w:name w:val="Body Text"/>
    <w:basedOn w:val="Normal"/>
    <w:link w:val="CorpsdetexteCar"/>
    <w:rsid w:val="005B123F"/>
    <w:pPr>
      <w:spacing w:after="120"/>
    </w:pPr>
  </w:style>
  <w:style w:type="character" w:customStyle="1" w:styleId="CorpsdetexteCar">
    <w:name w:val="Corps de texte Car"/>
    <w:basedOn w:val="Policepardfaut"/>
    <w:link w:val="Corpsdetexte"/>
    <w:rsid w:val="005B123F"/>
    <w:rPr>
      <w:sz w:val="24"/>
    </w:rPr>
  </w:style>
  <w:style w:type="character" w:styleId="Rfrencelgre">
    <w:name w:val="Subtle Reference"/>
    <w:basedOn w:val="Policepardfaut"/>
    <w:uiPriority w:val="31"/>
    <w:qFormat/>
    <w:rsid w:val="00262DB0"/>
    <w:rPr>
      <w:smallCaps/>
      <w:color w:val="C0504D" w:themeColor="accent2"/>
      <w:u w:val="single"/>
    </w:rPr>
  </w:style>
  <w:style w:type="character" w:styleId="Accentuationintense">
    <w:name w:val="Intense Emphasis"/>
    <w:basedOn w:val="Policepardfaut"/>
    <w:uiPriority w:val="21"/>
    <w:qFormat/>
    <w:rsid w:val="001375B4"/>
    <w:rPr>
      <w:b/>
      <w:bCs/>
      <w:i/>
      <w:iCs/>
      <w:color w:val="4F81BD" w:themeColor="accent1"/>
    </w:rPr>
  </w:style>
  <w:style w:type="character" w:styleId="lev">
    <w:name w:val="Strong"/>
    <w:basedOn w:val="Policepardfaut"/>
    <w:uiPriority w:val="22"/>
    <w:qFormat/>
    <w:rsid w:val="0080795D"/>
    <w:rPr>
      <w:b/>
      <w:bCs/>
    </w:rPr>
  </w:style>
  <w:style w:type="paragraph" w:styleId="Explorateurdedocuments">
    <w:name w:val="Document Map"/>
    <w:basedOn w:val="Normal"/>
    <w:link w:val="ExplorateurdedocumentsCar"/>
    <w:semiHidden/>
    <w:unhideWhenUsed/>
    <w:rsid w:val="005573CA"/>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573CA"/>
    <w:rPr>
      <w:rFonts w:ascii="Tahoma" w:hAnsi="Tahoma" w:cs="Tahoma"/>
      <w:sz w:val="16"/>
      <w:szCs w:val="16"/>
    </w:rPr>
  </w:style>
  <w:style w:type="character" w:customStyle="1" w:styleId="st">
    <w:name w:val="st"/>
    <w:basedOn w:val="Policepardfaut"/>
    <w:rsid w:val="000C5C78"/>
  </w:style>
  <w:style w:type="character" w:styleId="Accentuation">
    <w:name w:val="Emphasis"/>
    <w:basedOn w:val="Policepardfaut"/>
    <w:uiPriority w:val="20"/>
    <w:qFormat/>
    <w:rsid w:val="00130B99"/>
    <w:rPr>
      <w:i/>
      <w:iCs/>
    </w:rPr>
  </w:style>
  <w:style w:type="paragraph" w:styleId="Notedebasdepage">
    <w:name w:val="footnote text"/>
    <w:basedOn w:val="Normal"/>
    <w:link w:val="NotedebasdepageCar"/>
    <w:semiHidden/>
    <w:unhideWhenUsed/>
    <w:rsid w:val="00C62FFA"/>
    <w:rPr>
      <w:sz w:val="20"/>
    </w:rPr>
  </w:style>
  <w:style w:type="character" w:customStyle="1" w:styleId="NotedebasdepageCar">
    <w:name w:val="Note de bas de page Car"/>
    <w:basedOn w:val="Policepardfaut"/>
    <w:link w:val="Notedebasdepage"/>
    <w:semiHidden/>
    <w:rsid w:val="00C62FFA"/>
    <w:rPr>
      <w:rFonts w:asciiTheme="minorHAnsi" w:hAnsiTheme="minorHAnsi"/>
    </w:rPr>
  </w:style>
  <w:style w:type="character" w:styleId="Appelnotedebasdep">
    <w:name w:val="footnote reference"/>
    <w:basedOn w:val="Policepardfaut"/>
    <w:uiPriority w:val="99"/>
    <w:semiHidden/>
    <w:unhideWhenUsed/>
    <w:rsid w:val="00C62FFA"/>
    <w:rPr>
      <w:vertAlign w:val="superscript"/>
    </w:rPr>
  </w:style>
  <w:style w:type="character" w:customStyle="1" w:styleId="apple-converted-space">
    <w:name w:val="apple-converted-space"/>
    <w:basedOn w:val="Policepardfaut"/>
    <w:rsid w:val="00853511"/>
  </w:style>
  <w:style w:type="paragraph" w:customStyle="1" w:styleId="name-article">
    <w:name w:val="name-article"/>
    <w:basedOn w:val="Normal"/>
    <w:rsid w:val="00056892"/>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ate1">
    <w:name w:val="Date1"/>
    <w:basedOn w:val="Normal"/>
    <w:rsid w:val="00056892"/>
    <w:pPr>
      <w:overflowPunct/>
      <w:autoSpaceDE/>
      <w:autoSpaceDN/>
      <w:adjustRightInd/>
      <w:spacing w:before="100" w:beforeAutospacing="1" w:after="100" w:afterAutospacing="1"/>
      <w:textAlignment w:val="auto"/>
    </w:pPr>
    <w:rPr>
      <w:rFonts w:ascii="Times New Roman" w:hAnsi="Times New Roman"/>
      <w:szCs w:val="24"/>
    </w:rPr>
  </w:style>
  <w:style w:type="paragraph" w:styleId="Textebrut">
    <w:name w:val="Plain Text"/>
    <w:basedOn w:val="Normal"/>
    <w:link w:val="TextebrutCar"/>
    <w:uiPriority w:val="99"/>
    <w:semiHidden/>
    <w:unhideWhenUsed/>
    <w:rsid w:val="00BD228F"/>
    <w:pPr>
      <w:overflowPunct/>
      <w:autoSpaceDE/>
      <w:autoSpaceDN/>
      <w:adjustRightInd/>
      <w:textAlignment w:val="auto"/>
    </w:pPr>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BD228F"/>
    <w:rPr>
      <w:rFonts w:ascii="Calibri" w:eastAsiaTheme="minorHAnsi" w:hAnsi="Calibri" w:cstheme="minorBidi"/>
      <w:sz w:val="22"/>
      <w:szCs w:val="21"/>
      <w:lang w:eastAsia="en-US"/>
    </w:rPr>
  </w:style>
  <w:style w:type="paragraph" w:customStyle="1" w:styleId="Default">
    <w:name w:val="Default"/>
    <w:rsid w:val="0098425E"/>
    <w:pPr>
      <w:autoSpaceDE w:val="0"/>
      <w:autoSpaceDN w:val="0"/>
      <w:adjustRightInd w:val="0"/>
    </w:pPr>
    <w:rPr>
      <w:rFonts w:ascii="Calibri" w:eastAsiaTheme="minorHAnsi" w:hAnsi="Calibri" w:cs="Calibri"/>
      <w:color w:val="000000"/>
      <w:sz w:val="24"/>
      <w:szCs w:val="24"/>
      <w:lang w:eastAsia="en-US"/>
    </w:rPr>
  </w:style>
  <w:style w:type="paragraph" w:styleId="Rvision">
    <w:name w:val="Revision"/>
    <w:hidden/>
    <w:uiPriority w:val="99"/>
    <w:semiHidden/>
    <w:rsid w:val="004F04F0"/>
    <w:rPr>
      <w:rFonts w:asciiTheme="minorHAnsi" w:hAnsiTheme="minorHAnsi"/>
      <w:sz w:val="24"/>
    </w:rPr>
  </w:style>
  <w:style w:type="character" w:styleId="Mentionnonrsolue">
    <w:name w:val="Unresolved Mention"/>
    <w:basedOn w:val="Policepardfaut"/>
    <w:uiPriority w:val="99"/>
    <w:semiHidden/>
    <w:unhideWhenUsed/>
    <w:rsid w:val="00F5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874">
      <w:bodyDiv w:val="1"/>
      <w:marLeft w:val="0"/>
      <w:marRight w:val="0"/>
      <w:marTop w:val="0"/>
      <w:marBottom w:val="0"/>
      <w:divBdr>
        <w:top w:val="none" w:sz="0" w:space="0" w:color="auto"/>
        <w:left w:val="none" w:sz="0" w:space="0" w:color="auto"/>
        <w:bottom w:val="none" w:sz="0" w:space="0" w:color="auto"/>
        <w:right w:val="none" w:sz="0" w:space="0" w:color="auto"/>
      </w:divBdr>
    </w:div>
    <w:div w:id="122620737">
      <w:bodyDiv w:val="1"/>
      <w:marLeft w:val="0"/>
      <w:marRight w:val="0"/>
      <w:marTop w:val="0"/>
      <w:marBottom w:val="0"/>
      <w:divBdr>
        <w:top w:val="none" w:sz="0" w:space="0" w:color="auto"/>
        <w:left w:val="none" w:sz="0" w:space="0" w:color="auto"/>
        <w:bottom w:val="none" w:sz="0" w:space="0" w:color="auto"/>
        <w:right w:val="none" w:sz="0" w:space="0" w:color="auto"/>
      </w:divBdr>
    </w:div>
    <w:div w:id="179778799">
      <w:bodyDiv w:val="1"/>
      <w:marLeft w:val="0"/>
      <w:marRight w:val="0"/>
      <w:marTop w:val="0"/>
      <w:marBottom w:val="0"/>
      <w:divBdr>
        <w:top w:val="none" w:sz="0" w:space="0" w:color="auto"/>
        <w:left w:val="none" w:sz="0" w:space="0" w:color="auto"/>
        <w:bottom w:val="none" w:sz="0" w:space="0" w:color="auto"/>
        <w:right w:val="none" w:sz="0" w:space="0" w:color="auto"/>
      </w:divBdr>
    </w:div>
    <w:div w:id="194930215">
      <w:bodyDiv w:val="1"/>
      <w:marLeft w:val="0"/>
      <w:marRight w:val="0"/>
      <w:marTop w:val="0"/>
      <w:marBottom w:val="0"/>
      <w:divBdr>
        <w:top w:val="none" w:sz="0" w:space="0" w:color="auto"/>
        <w:left w:val="none" w:sz="0" w:space="0" w:color="auto"/>
        <w:bottom w:val="none" w:sz="0" w:space="0" w:color="auto"/>
        <w:right w:val="none" w:sz="0" w:space="0" w:color="auto"/>
      </w:divBdr>
    </w:div>
    <w:div w:id="278414513">
      <w:bodyDiv w:val="1"/>
      <w:marLeft w:val="0"/>
      <w:marRight w:val="0"/>
      <w:marTop w:val="0"/>
      <w:marBottom w:val="0"/>
      <w:divBdr>
        <w:top w:val="none" w:sz="0" w:space="0" w:color="auto"/>
        <w:left w:val="none" w:sz="0" w:space="0" w:color="auto"/>
        <w:bottom w:val="none" w:sz="0" w:space="0" w:color="auto"/>
        <w:right w:val="none" w:sz="0" w:space="0" w:color="auto"/>
      </w:divBdr>
    </w:div>
    <w:div w:id="297955641">
      <w:bodyDiv w:val="1"/>
      <w:marLeft w:val="0"/>
      <w:marRight w:val="0"/>
      <w:marTop w:val="0"/>
      <w:marBottom w:val="0"/>
      <w:divBdr>
        <w:top w:val="none" w:sz="0" w:space="0" w:color="auto"/>
        <w:left w:val="none" w:sz="0" w:space="0" w:color="auto"/>
        <w:bottom w:val="none" w:sz="0" w:space="0" w:color="auto"/>
        <w:right w:val="none" w:sz="0" w:space="0" w:color="auto"/>
      </w:divBdr>
    </w:div>
    <w:div w:id="353270223">
      <w:bodyDiv w:val="1"/>
      <w:marLeft w:val="0"/>
      <w:marRight w:val="0"/>
      <w:marTop w:val="0"/>
      <w:marBottom w:val="0"/>
      <w:divBdr>
        <w:top w:val="none" w:sz="0" w:space="0" w:color="auto"/>
        <w:left w:val="none" w:sz="0" w:space="0" w:color="auto"/>
        <w:bottom w:val="none" w:sz="0" w:space="0" w:color="auto"/>
        <w:right w:val="none" w:sz="0" w:space="0" w:color="auto"/>
      </w:divBdr>
    </w:div>
    <w:div w:id="373627839">
      <w:bodyDiv w:val="1"/>
      <w:marLeft w:val="0"/>
      <w:marRight w:val="0"/>
      <w:marTop w:val="0"/>
      <w:marBottom w:val="0"/>
      <w:divBdr>
        <w:top w:val="none" w:sz="0" w:space="0" w:color="auto"/>
        <w:left w:val="none" w:sz="0" w:space="0" w:color="auto"/>
        <w:bottom w:val="none" w:sz="0" w:space="0" w:color="auto"/>
        <w:right w:val="none" w:sz="0" w:space="0" w:color="auto"/>
      </w:divBdr>
      <w:divsChild>
        <w:div w:id="290091470">
          <w:marLeft w:val="547"/>
          <w:marRight w:val="0"/>
          <w:marTop w:val="0"/>
          <w:marBottom w:val="0"/>
          <w:divBdr>
            <w:top w:val="none" w:sz="0" w:space="0" w:color="auto"/>
            <w:left w:val="none" w:sz="0" w:space="0" w:color="auto"/>
            <w:bottom w:val="none" w:sz="0" w:space="0" w:color="auto"/>
            <w:right w:val="none" w:sz="0" w:space="0" w:color="auto"/>
          </w:divBdr>
        </w:div>
      </w:divsChild>
    </w:div>
    <w:div w:id="437877110">
      <w:bodyDiv w:val="1"/>
      <w:marLeft w:val="0"/>
      <w:marRight w:val="0"/>
      <w:marTop w:val="0"/>
      <w:marBottom w:val="0"/>
      <w:divBdr>
        <w:top w:val="none" w:sz="0" w:space="0" w:color="auto"/>
        <w:left w:val="none" w:sz="0" w:space="0" w:color="auto"/>
        <w:bottom w:val="none" w:sz="0" w:space="0" w:color="auto"/>
        <w:right w:val="none" w:sz="0" w:space="0" w:color="auto"/>
      </w:divBdr>
    </w:div>
    <w:div w:id="469791760">
      <w:bodyDiv w:val="1"/>
      <w:marLeft w:val="0"/>
      <w:marRight w:val="0"/>
      <w:marTop w:val="0"/>
      <w:marBottom w:val="0"/>
      <w:divBdr>
        <w:top w:val="none" w:sz="0" w:space="0" w:color="auto"/>
        <w:left w:val="none" w:sz="0" w:space="0" w:color="auto"/>
        <w:bottom w:val="none" w:sz="0" w:space="0" w:color="auto"/>
        <w:right w:val="none" w:sz="0" w:space="0" w:color="auto"/>
      </w:divBdr>
    </w:div>
    <w:div w:id="504979720">
      <w:bodyDiv w:val="1"/>
      <w:marLeft w:val="0"/>
      <w:marRight w:val="0"/>
      <w:marTop w:val="0"/>
      <w:marBottom w:val="0"/>
      <w:divBdr>
        <w:top w:val="none" w:sz="0" w:space="0" w:color="auto"/>
        <w:left w:val="none" w:sz="0" w:space="0" w:color="auto"/>
        <w:bottom w:val="none" w:sz="0" w:space="0" w:color="auto"/>
        <w:right w:val="none" w:sz="0" w:space="0" w:color="auto"/>
      </w:divBdr>
    </w:div>
    <w:div w:id="544684204">
      <w:bodyDiv w:val="1"/>
      <w:marLeft w:val="0"/>
      <w:marRight w:val="0"/>
      <w:marTop w:val="0"/>
      <w:marBottom w:val="0"/>
      <w:divBdr>
        <w:top w:val="none" w:sz="0" w:space="0" w:color="auto"/>
        <w:left w:val="none" w:sz="0" w:space="0" w:color="auto"/>
        <w:bottom w:val="none" w:sz="0" w:space="0" w:color="auto"/>
        <w:right w:val="none" w:sz="0" w:space="0" w:color="auto"/>
      </w:divBdr>
    </w:div>
    <w:div w:id="545921326">
      <w:bodyDiv w:val="1"/>
      <w:marLeft w:val="0"/>
      <w:marRight w:val="0"/>
      <w:marTop w:val="0"/>
      <w:marBottom w:val="0"/>
      <w:divBdr>
        <w:top w:val="none" w:sz="0" w:space="0" w:color="auto"/>
        <w:left w:val="none" w:sz="0" w:space="0" w:color="auto"/>
        <w:bottom w:val="none" w:sz="0" w:space="0" w:color="auto"/>
        <w:right w:val="none" w:sz="0" w:space="0" w:color="auto"/>
      </w:divBdr>
    </w:div>
    <w:div w:id="575171494">
      <w:bodyDiv w:val="1"/>
      <w:marLeft w:val="0"/>
      <w:marRight w:val="0"/>
      <w:marTop w:val="0"/>
      <w:marBottom w:val="0"/>
      <w:divBdr>
        <w:top w:val="none" w:sz="0" w:space="0" w:color="auto"/>
        <w:left w:val="none" w:sz="0" w:space="0" w:color="auto"/>
        <w:bottom w:val="none" w:sz="0" w:space="0" w:color="auto"/>
        <w:right w:val="none" w:sz="0" w:space="0" w:color="auto"/>
      </w:divBdr>
    </w:div>
    <w:div w:id="669722601">
      <w:bodyDiv w:val="1"/>
      <w:marLeft w:val="0"/>
      <w:marRight w:val="0"/>
      <w:marTop w:val="0"/>
      <w:marBottom w:val="0"/>
      <w:divBdr>
        <w:top w:val="none" w:sz="0" w:space="0" w:color="auto"/>
        <w:left w:val="none" w:sz="0" w:space="0" w:color="auto"/>
        <w:bottom w:val="none" w:sz="0" w:space="0" w:color="auto"/>
        <w:right w:val="none" w:sz="0" w:space="0" w:color="auto"/>
      </w:divBdr>
      <w:divsChild>
        <w:div w:id="1062365684">
          <w:marLeft w:val="547"/>
          <w:marRight w:val="0"/>
          <w:marTop w:val="0"/>
          <w:marBottom w:val="0"/>
          <w:divBdr>
            <w:top w:val="none" w:sz="0" w:space="0" w:color="auto"/>
            <w:left w:val="none" w:sz="0" w:space="0" w:color="auto"/>
            <w:bottom w:val="none" w:sz="0" w:space="0" w:color="auto"/>
            <w:right w:val="none" w:sz="0" w:space="0" w:color="auto"/>
          </w:divBdr>
        </w:div>
        <w:div w:id="1508905128">
          <w:marLeft w:val="1166"/>
          <w:marRight w:val="0"/>
          <w:marTop w:val="0"/>
          <w:marBottom w:val="0"/>
          <w:divBdr>
            <w:top w:val="none" w:sz="0" w:space="0" w:color="auto"/>
            <w:left w:val="none" w:sz="0" w:space="0" w:color="auto"/>
            <w:bottom w:val="none" w:sz="0" w:space="0" w:color="auto"/>
            <w:right w:val="none" w:sz="0" w:space="0" w:color="auto"/>
          </w:divBdr>
        </w:div>
        <w:div w:id="367683875">
          <w:marLeft w:val="1166"/>
          <w:marRight w:val="0"/>
          <w:marTop w:val="0"/>
          <w:marBottom w:val="0"/>
          <w:divBdr>
            <w:top w:val="none" w:sz="0" w:space="0" w:color="auto"/>
            <w:left w:val="none" w:sz="0" w:space="0" w:color="auto"/>
            <w:bottom w:val="none" w:sz="0" w:space="0" w:color="auto"/>
            <w:right w:val="none" w:sz="0" w:space="0" w:color="auto"/>
          </w:divBdr>
        </w:div>
        <w:div w:id="398866033">
          <w:marLeft w:val="1166"/>
          <w:marRight w:val="0"/>
          <w:marTop w:val="0"/>
          <w:marBottom w:val="0"/>
          <w:divBdr>
            <w:top w:val="none" w:sz="0" w:space="0" w:color="auto"/>
            <w:left w:val="none" w:sz="0" w:space="0" w:color="auto"/>
            <w:bottom w:val="none" w:sz="0" w:space="0" w:color="auto"/>
            <w:right w:val="none" w:sz="0" w:space="0" w:color="auto"/>
          </w:divBdr>
        </w:div>
      </w:divsChild>
    </w:div>
    <w:div w:id="705986422">
      <w:bodyDiv w:val="1"/>
      <w:marLeft w:val="0"/>
      <w:marRight w:val="0"/>
      <w:marTop w:val="0"/>
      <w:marBottom w:val="0"/>
      <w:divBdr>
        <w:top w:val="none" w:sz="0" w:space="0" w:color="auto"/>
        <w:left w:val="none" w:sz="0" w:space="0" w:color="auto"/>
        <w:bottom w:val="none" w:sz="0" w:space="0" w:color="auto"/>
        <w:right w:val="none" w:sz="0" w:space="0" w:color="auto"/>
      </w:divBdr>
    </w:div>
    <w:div w:id="714475718">
      <w:bodyDiv w:val="1"/>
      <w:marLeft w:val="0"/>
      <w:marRight w:val="0"/>
      <w:marTop w:val="0"/>
      <w:marBottom w:val="0"/>
      <w:divBdr>
        <w:top w:val="none" w:sz="0" w:space="0" w:color="auto"/>
        <w:left w:val="none" w:sz="0" w:space="0" w:color="auto"/>
        <w:bottom w:val="none" w:sz="0" w:space="0" w:color="auto"/>
        <w:right w:val="none" w:sz="0" w:space="0" w:color="auto"/>
      </w:divBdr>
      <w:divsChild>
        <w:div w:id="355545803">
          <w:marLeft w:val="547"/>
          <w:marRight w:val="0"/>
          <w:marTop w:val="0"/>
          <w:marBottom w:val="0"/>
          <w:divBdr>
            <w:top w:val="none" w:sz="0" w:space="0" w:color="auto"/>
            <w:left w:val="none" w:sz="0" w:space="0" w:color="auto"/>
            <w:bottom w:val="none" w:sz="0" w:space="0" w:color="auto"/>
            <w:right w:val="none" w:sz="0" w:space="0" w:color="auto"/>
          </w:divBdr>
        </w:div>
      </w:divsChild>
    </w:div>
    <w:div w:id="768308096">
      <w:bodyDiv w:val="1"/>
      <w:marLeft w:val="0"/>
      <w:marRight w:val="0"/>
      <w:marTop w:val="0"/>
      <w:marBottom w:val="0"/>
      <w:divBdr>
        <w:top w:val="none" w:sz="0" w:space="0" w:color="auto"/>
        <w:left w:val="none" w:sz="0" w:space="0" w:color="auto"/>
        <w:bottom w:val="none" w:sz="0" w:space="0" w:color="auto"/>
        <w:right w:val="none" w:sz="0" w:space="0" w:color="auto"/>
      </w:divBdr>
    </w:div>
    <w:div w:id="827356929">
      <w:bodyDiv w:val="1"/>
      <w:marLeft w:val="0"/>
      <w:marRight w:val="0"/>
      <w:marTop w:val="0"/>
      <w:marBottom w:val="0"/>
      <w:divBdr>
        <w:top w:val="none" w:sz="0" w:space="0" w:color="auto"/>
        <w:left w:val="none" w:sz="0" w:space="0" w:color="auto"/>
        <w:bottom w:val="none" w:sz="0" w:space="0" w:color="auto"/>
        <w:right w:val="none" w:sz="0" w:space="0" w:color="auto"/>
      </w:divBdr>
    </w:div>
    <w:div w:id="833032455">
      <w:bodyDiv w:val="1"/>
      <w:marLeft w:val="0"/>
      <w:marRight w:val="0"/>
      <w:marTop w:val="0"/>
      <w:marBottom w:val="0"/>
      <w:divBdr>
        <w:top w:val="none" w:sz="0" w:space="0" w:color="auto"/>
        <w:left w:val="none" w:sz="0" w:space="0" w:color="auto"/>
        <w:bottom w:val="none" w:sz="0" w:space="0" w:color="auto"/>
        <w:right w:val="none" w:sz="0" w:space="0" w:color="auto"/>
      </w:divBdr>
    </w:div>
    <w:div w:id="854810625">
      <w:bodyDiv w:val="1"/>
      <w:marLeft w:val="0"/>
      <w:marRight w:val="0"/>
      <w:marTop w:val="0"/>
      <w:marBottom w:val="0"/>
      <w:divBdr>
        <w:top w:val="none" w:sz="0" w:space="0" w:color="auto"/>
        <w:left w:val="none" w:sz="0" w:space="0" w:color="auto"/>
        <w:bottom w:val="none" w:sz="0" w:space="0" w:color="auto"/>
        <w:right w:val="none" w:sz="0" w:space="0" w:color="auto"/>
      </w:divBdr>
    </w:div>
    <w:div w:id="951478437">
      <w:bodyDiv w:val="1"/>
      <w:marLeft w:val="0"/>
      <w:marRight w:val="0"/>
      <w:marTop w:val="0"/>
      <w:marBottom w:val="0"/>
      <w:divBdr>
        <w:top w:val="none" w:sz="0" w:space="0" w:color="auto"/>
        <w:left w:val="none" w:sz="0" w:space="0" w:color="auto"/>
        <w:bottom w:val="none" w:sz="0" w:space="0" w:color="auto"/>
        <w:right w:val="none" w:sz="0" w:space="0" w:color="auto"/>
      </w:divBdr>
    </w:div>
    <w:div w:id="967004299">
      <w:bodyDiv w:val="1"/>
      <w:marLeft w:val="0"/>
      <w:marRight w:val="0"/>
      <w:marTop w:val="0"/>
      <w:marBottom w:val="0"/>
      <w:divBdr>
        <w:top w:val="none" w:sz="0" w:space="0" w:color="auto"/>
        <w:left w:val="none" w:sz="0" w:space="0" w:color="auto"/>
        <w:bottom w:val="none" w:sz="0" w:space="0" w:color="auto"/>
        <w:right w:val="none" w:sz="0" w:space="0" w:color="auto"/>
      </w:divBdr>
      <w:divsChild>
        <w:div w:id="2122800479">
          <w:marLeft w:val="547"/>
          <w:marRight w:val="0"/>
          <w:marTop w:val="0"/>
          <w:marBottom w:val="0"/>
          <w:divBdr>
            <w:top w:val="none" w:sz="0" w:space="0" w:color="auto"/>
            <w:left w:val="none" w:sz="0" w:space="0" w:color="auto"/>
            <w:bottom w:val="none" w:sz="0" w:space="0" w:color="auto"/>
            <w:right w:val="none" w:sz="0" w:space="0" w:color="auto"/>
          </w:divBdr>
        </w:div>
      </w:divsChild>
    </w:div>
    <w:div w:id="1011029022">
      <w:bodyDiv w:val="1"/>
      <w:marLeft w:val="0"/>
      <w:marRight w:val="0"/>
      <w:marTop w:val="0"/>
      <w:marBottom w:val="0"/>
      <w:divBdr>
        <w:top w:val="none" w:sz="0" w:space="0" w:color="auto"/>
        <w:left w:val="none" w:sz="0" w:space="0" w:color="auto"/>
        <w:bottom w:val="none" w:sz="0" w:space="0" w:color="auto"/>
        <w:right w:val="none" w:sz="0" w:space="0" w:color="auto"/>
      </w:divBdr>
    </w:div>
    <w:div w:id="1229925717">
      <w:bodyDiv w:val="1"/>
      <w:marLeft w:val="0"/>
      <w:marRight w:val="0"/>
      <w:marTop w:val="0"/>
      <w:marBottom w:val="0"/>
      <w:divBdr>
        <w:top w:val="none" w:sz="0" w:space="0" w:color="auto"/>
        <w:left w:val="none" w:sz="0" w:space="0" w:color="auto"/>
        <w:bottom w:val="none" w:sz="0" w:space="0" w:color="auto"/>
        <w:right w:val="none" w:sz="0" w:space="0" w:color="auto"/>
      </w:divBdr>
    </w:div>
    <w:div w:id="1324626226">
      <w:bodyDiv w:val="1"/>
      <w:marLeft w:val="0"/>
      <w:marRight w:val="0"/>
      <w:marTop w:val="0"/>
      <w:marBottom w:val="0"/>
      <w:divBdr>
        <w:top w:val="none" w:sz="0" w:space="0" w:color="auto"/>
        <w:left w:val="none" w:sz="0" w:space="0" w:color="auto"/>
        <w:bottom w:val="none" w:sz="0" w:space="0" w:color="auto"/>
        <w:right w:val="none" w:sz="0" w:space="0" w:color="auto"/>
      </w:divBdr>
    </w:div>
    <w:div w:id="1430924704">
      <w:bodyDiv w:val="1"/>
      <w:marLeft w:val="0"/>
      <w:marRight w:val="0"/>
      <w:marTop w:val="0"/>
      <w:marBottom w:val="0"/>
      <w:divBdr>
        <w:top w:val="none" w:sz="0" w:space="0" w:color="auto"/>
        <w:left w:val="none" w:sz="0" w:space="0" w:color="auto"/>
        <w:bottom w:val="none" w:sz="0" w:space="0" w:color="auto"/>
        <w:right w:val="none" w:sz="0" w:space="0" w:color="auto"/>
      </w:divBdr>
    </w:div>
    <w:div w:id="1437556036">
      <w:bodyDiv w:val="1"/>
      <w:marLeft w:val="0"/>
      <w:marRight w:val="0"/>
      <w:marTop w:val="0"/>
      <w:marBottom w:val="0"/>
      <w:divBdr>
        <w:top w:val="none" w:sz="0" w:space="0" w:color="auto"/>
        <w:left w:val="none" w:sz="0" w:space="0" w:color="auto"/>
        <w:bottom w:val="none" w:sz="0" w:space="0" w:color="auto"/>
        <w:right w:val="none" w:sz="0" w:space="0" w:color="auto"/>
      </w:divBdr>
    </w:div>
    <w:div w:id="1470320384">
      <w:bodyDiv w:val="1"/>
      <w:marLeft w:val="0"/>
      <w:marRight w:val="0"/>
      <w:marTop w:val="0"/>
      <w:marBottom w:val="0"/>
      <w:divBdr>
        <w:top w:val="none" w:sz="0" w:space="0" w:color="auto"/>
        <w:left w:val="none" w:sz="0" w:space="0" w:color="auto"/>
        <w:bottom w:val="none" w:sz="0" w:space="0" w:color="auto"/>
        <w:right w:val="none" w:sz="0" w:space="0" w:color="auto"/>
      </w:divBdr>
    </w:div>
    <w:div w:id="1491604492">
      <w:bodyDiv w:val="1"/>
      <w:marLeft w:val="0"/>
      <w:marRight w:val="0"/>
      <w:marTop w:val="0"/>
      <w:marBottom w:val="0"/>
      <w:divBdr>
        <w:top w:val="none" w:sz="0" w:space="0" w:color="auto"/>
        <w:left w:val="none" w:sz="0" w:space="0" w:color="auto"/>
        <w:bottom w:val="none" w:sz="0" w:space="0" w:color="auto"/>
        <w:right w:val="none" w:sz="0" w:space="0" w:color="auto"/>
      </w:divBdr>
    </w:div>
    <w:div w:id="1602492501">
      <w:bodyDiv w:val="1"/>
      <w:marLeft w:val="0"/>
      <w:marRight w:val="0"/>
      <w:marTop w:val="0"/>
      <w:marBottom w:val="0"/>
      <w:divBdr>
        <w:top w:val="none" w:sz="0" w:space="0" w:color="auto"/>
        <w:left w:val="none" w:sz="0" w:space="0" w:color="auto"/>
        <w:bottom w:val="none" w:sz="0" w:space="0" w:color="auto"/>
        <w:right w:val="none" w:sz="0" w:space="0" w:color="auto"/>
      </w:divBdr>
    </w:div>
    <w:div w:id="1654917261">
      <w:bodyDiv w:val="1"/>
      <w:marLeft w:val="0"/>
      <w:marRight w:val="0"/>
      <w:marTop w:val="0"/>
      <w:marBottom w:val="0"/>
      <w:divBdr>
        <w:top w:val="none" w:sz="0" w:space="0" w:color="auto"/>
        <w:left w:val="none" w:sz="0" w:space="0" w:color="auto"/>
        <w:bottom w:val="none" w:sz="0" w:space="0" w:color="auto"/>
        <w:right w:val="none" w:sz="0" w:space="0" w:color="auto"/>
      </w:divBdr>
    </w:div>
    <w:div w:id="1704281741">
      <w:bodyDiv w:val="1"/>
      <w:marLeft w:val="0"/>
      <w:marRight w:val="0"/>
      <w:marTop w:val="0"/>
      <w:marBottom w:val="0"/>
      <w:divBdr>
        <w:top w:val="none" w:sz="0" w:space="0" w:color="auto"/>
        <w:left w:val="none" w:sz="0" w:space="0" w:color="auto"/>
        <w:bottom w:val="none" w:sz="0" w:space="0" w:color="auto"/>
        <w:right w:val="none" w:sz="0" w:space="0" w:color="auto"/>
      </w:divBdr>
    </w:div>
    <w:div w:id="1718550831">
      <w:bodyDiv w:val="1"/>
      <w:marLeft w:val="0"/>
      <w:marRight w:val="0"/>
      <w:marTop w:val="0"/>
      <w:marBottom w:val="0"/>
      <w:divBdr>
        <w:top w:val="none" w:sz="0" w:space="0" w:color="auto"/>
        <w:left w:val="none" w:sz="0" w:space="0" w:color="auto"/>
        <w:bottom w:val="none" w:sz="0" w:space="0" w:color="auto"/>
        <w:right w:val="none" w:sz="0" w:space="0" w:color="auto"/>
      </w:divBdr>
      <w:divsChild>
        <w:div w:id="2095204366">
          <w:marLeft w:val="0"/>
          <w:marRight w:val="0"/>
          <w:marTop w:val="0"/>
          <w:marBottom w:val="120"/>
          <w:divBdr>
            <w:top w:val="none" w:sz="0" w:space="0" w:color="auto"/>
            <w:left w:val="none" w:sz="0" w:space="0" w:color="auto"/>
            <w:bottom w:val="none" w:sz="0" w:space="0" w:color="auto"/>
            <w:right w:val="none" w:sz="0" w:space="0" w:color="auto"/>
          </w:divBdr>
        </w:div>
      </w:divsChild>
    </w:div>
    <w:div w:id="1744983032">
      <w:bodyDiv w:val="1"/>
      <w:marLeft w:val="0"/>
      <w:marRight w:val="0"/>
      <w:marTop w:val="0"/>
      <w:marBottom w:val="0"/>
      <w:divBdr>
        <w:top w:val="none" w:sz="0" w:space="0" w:color="auto"/>
        <w:left w:val="none" w:sz="0" w:space="0" w:color="auto"/>
        <w:bottom w:val="none" w:sz="0" w:space="0" w:color="auto"/>
        <w:right w:val="none" w:sz="0" w:space="0" w:color="auto"/>
      </w:divBdr>
    </w:div>
    <w:div w:id="1752583238">
      <w:bodyDiv w:val="1"/>
      <w:marLeft w:val="0"/>
      <w:marRight w:val="0"/>
      <w:marTop w:val="0"/>
      <w:marBottom w:val="0"/>
      <w:divBdr>
        <w:top w:val="none" w:sz="0" w:space="0" w:color="auto"/>
        <w:left w:val="none" w:sz="0" w:space="0" w:color="auto"/>
        <w:bottom w:val="none" w:sz="0" w:space="0" w:color="auto"/>
        <w:right w:val="none" w:sz="0" w:space="0" w:color="auto"/>
      </w:divBdr>
    </w:div>
    <w:div w:id="1871457626">
      <w:bodyDiv w:val="1"/>
      <w:marLeft w:val="0"/>
      <w:marRight w:val="0"/>
      <w:marTop w:val="0"/>
      <w:marBottom w:val="0"/>
      <w:divBdr>
        <w:top w:val="none" w:sz="0" w:space="0" w:color="auto"/>
        <w:left w:val="none" w:sz="0" w:space="0" w:color="auto"/>
        <w:bottom w:val="none" w:sz="0" w:space="0" w:color="auto"/>
        <w:right w:val="none" w:sz="0" w:space="0" w:color="auto"/>
      </w:divBdr>
      <w:divsChild>
        <w:div w:id="968440102">
          <w:marLeft w:val="547"/>
          <w:marRight w:val="0"/>
          <w:marTop w:val="0"/>
          <w:marBottom w:val="0"/>
          <w:divBdr>
            <w:top w:val="none" w:sz="0" w:space="0" w:color="auto"/>
            <w:left w:val="none" w:sz="0" w:space="0" w:color="auto"/>
            <w:bottom w:val="none" w:sz="0" w:space="0" w:color="auto"/>
            <w:right w:val="none" w:sz="0" w:space="0" w:color="auto"/>
          </w:divBdr>
        </w:div>
        <w:div w:id="175383869">
          <w:marLeft w:val="547"/>
          <w:marRight w:val="0"/>
          <w:marTop w:val="0"/>
          <w:marBottom w:val="0"/>
          <w:divBdr>
            <w:top w:val="none" w:sz="0" w:space="0" w:color="auto"/>
            <w:left w:val="none" w:sz="0" w:space="0" w:color="auto"/>
            <w:bottom w:val="none" w:sz="0" w:space="0" w:color="auto"/>
            <w:right w:val="none" w:sz="0" w:space="0" w:color="auto"/>
          </w:divBdr>
        </w:div>
        <w:div w:id="1750618911">
          <w:marLeft w:val="547"/>
          <w:marRight w:val="0"/>
          <w:marTop w:val="0"/>
          <w:marBottom w:val="0"/>
          <w:divBdr>
            <w:top w:val="none" w:sz="0" w:space="0" w:color="auto"/>
            <w:left w:val="none" w:sz="0" w:space="0" w:color="auto"/>
            <w:bottom w:val="none" w:sz="0" w:space="0" w:color="auto"/>
            <w:right w:val="none" w:sz="0" w:space="0" w:color="auto"/>
          </w:divBdr>
        </w:div>
      </w:divsChild>
    </w:div>
    <w:div w:id="1893734942">
      <w:bodyDiv w:val="1"/>
      <w:marLeft w:val="0"/>
      <w:marRight w:val="0"/>
      <w:marTop w:val="0"/>
      <w:marBottom w:val="0"/>
      <w:divBdr>
        <w:top w:val="none" w:sz="0" w:space="0" w:color="auto"/>
        <w:left w:val="none" w:sz="0" w:space="0" w:color="auto"/>
        <w:bottom w:val="none" w:sz="0" w:space="0" w:color="auto"/>
        <w:right w:val="none" w:sz="0" w:space="0" w:color="auto"/>
      </w:divBdr>
    </w:div>
    <w:div w:id="1944922283">
      <w:bodyDiv w:val="1"/>
      <w:marLeft w:val="0"/>
      <w:marRight w:val="0"/>
      <w:marTop w:val="0"/>
      <w:marBottom w:val="0"/>
      <w:divBdr>
        <w:top w:val="none" w:sz="0" w:space="0" w:color="auto"/>
        <w:left w:val="none" w:sz="0" w:space="0" w:color="auto"/>
        <w:bottom w:val="none" w:sz="0" w:space="0" w:color="auto"/>
        <w:right w:val="none" w:sz="0" w:space="0" w:color="auto"/>
      </w:divBdr>
    </w:div>
    <w:div w:id="1974477143">
      <w:bodyDiv w:val="1"/>
      <w:marLeft w:val="0"/>
      <w:marRight w:val="0"/>
      <w:marTop w:val="0"/>
      <w:marBottom w:val="0"/>
      <w:divBdr>
        <w:top w:val="none" w:sz="0" w:space="0" w:color="auto"/>
        <w:left w:val="none" w:sz="0" w:space="0" w:color="auto"/>
        <w:bottom w:val="none" w:sz="0" w:space="0" w:color="auto"/>
        <w:right w:val="none" w:sz="0" w:space="0" w:color="auto"/>
      </w:divBdr>
    </w:div>
    <w:div w:id="2010479420">
      <w:bodyDiv w:val="1"/>
      <w:marLeft w:val="0"/>
      <w:marRight w:val="0"/>
      <w:marTop w:val="0"/>
      <w:marBottom w:val="0"/>
      <w:divBdr>
        <w:top w:val="none" w:sz="0" w:space="0" w:color="auto"/>
        <w:left w:val="none" w:sz="0" w:space="0" w:color="auto"/>
        <w:bottom w:val="none" w:sz="0" w:space="0" w:color="auto"/>
        <w:right w:val="none" w:sz="0" w:space="0" w:color="auto"/>
      </w:divBdr>
    </w:div>
    <w:div w:id="2096975147">
      <w:bodyDiv w:val="1"/>
      <w:marLeft w:val="0"/>
      <w:marRight w:val="0"/>
      <w:marTop w:val="0"/>
      <w:marBottom w:val="0"/>
      <w:divBdr>
        <w:top w:val="none" w:sz="0" w:space="0" w:color="auto"/>
        <w:left w:val="none" w:sz="0" w:space="0" w:color="auto"/>
        <w:bottom w:val="none" w:sz="0" w:space="0" w:color="auto"/>
        <w:right w:val="none" w:sz="0" w:space="0" w:color="auto"/>
      </w:divBdr>
    </w:div>
    <w:div w:id="2105033125">
      <w:bodyDiv w:val="1"/>
      <w:marLeft w:val="0"/>
      <w:marRight w:val="0"/>
      <w:marTop w:val="0"/>
      <w:marBottom w:val="0"/>
      <w:divBdr>
        <w:top w:val="none" w:sz="0" w:space="0" w:color="auto"/>
        <w:left w:val="none" w:sz="0" w:space="0" w:color="auto"/>
        <w:bottom w:val="none" w:sz="0" w:space="0" w:color="auto"/>
        <w:right w:val="none" w:sz="0" w:space="0" w:color="auto"/>
      </w:divBdr>
    </w:div>
    <w:div w:id="21150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1335&amp;idArticle=LEGIARTI000029321753&amp;dateTexte=&amp;categorieLien=i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1335&amp;idArticle=LEGIARTI000021956524&amp;dateTexte=&amp;categorieLien=c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entre-hubertine-auclert.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codes/article_lc/LEGIARTI000044427392/2022-03-01" TargetMode="External"/><Relationship Id="rId5" Type="http://schemas.openxmlformats.org/officeDocument/2006/relationships/numbering" Target="numbering.xml"/><Relationship Id="rId15" Type="http://schemas.openxmlformats.org/officeDocument/2006/relationships/hyperlink" Target="https://data.ofgl.fr/pages/accuei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phfp.fr/Obligations-des-employeurs/Declaration-et-contribution/Declar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15ee0-0151-4ddd-8e31-4a7a9a4e993a">
      <Terms xmlns="http://schemas.microsoft.com/office/infopath/2007/PartnerControls"/>
    </lcf76f155ced4ddcb4097134ff3c332f>
    <TaxCatchAll xmlns="feeebf29-4165-41da-9315-64480ca515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BC17D76D8C042AB2879CFA8E02D8C" ma:contentTypeVersion="16" ma:contentTypeDescription="Crée un document." ma:contentTypeScope="" ma:versionID="a22ac53ca8bd295e9d10250b5cc61404">
  <xsd:schema xmlns:xsd="http://www.w3.org/2001/XMLSchema" xmlns:xs="http://www.w3.org/2001/XMLSchema" xmlns:p="http://schemas.microsoft.com/office/2006/metadata/properties" xmlns:ns2="83b15ee0-0151-4ddd-8e31-4a7a9a4e993a" xmlns:ns3="feeebf29-4165-41da-9315-64480ca5159d" targetNamespace="http://schemas.microsoft.com/office/2006/metadata/properties" ma:root="true" ma:fieldsID="587ba81f2ee2c28d343d5b0be9db0889" ns2:_="" ns3:_="">
    <xsd:import namespace="83b15ee0-0151-4ddd-8e31-4a7a9a4e993a"/>
    <xsd:import namespace="feeebf29-4165-41da-9315-64480ca51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5ee0-0151-4ddd-8e31-4a7a9a4e9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cc985b9-71ed-4b3f-a785-fb90000179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eebf29-4165-41da-9315-64480ca5159d"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5b0f2ed-8daa-4873-8df2-2f6d60f9e4a7}" ma:internalName="TaxCatchAll" ma:showField="CatchAllData" ma:web="feeebf29-4165-41da-9315-64480ca51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9637-7D9D-4781-8D07-96CE3BE238D8}">
  <ds:schemaRefs>
    <ds:schemaRef ds:uri="http://schemas.microsoft.com/office/2006/metadata/properties"/>
    <ds:schemaRef ds:uri="http://schemas.microsoft.com/office/infopath/2007/PartnerControls"/>
    <ds:schemaRef ds:uri="83b15ee0-0151-4ddd-8e31-4a7a9a4e993a"/>
    <ds:schemaRef ds:uri="feeebf29-4165-41da-9315-64480ca5159d"/>
  </ds:schemaRefs>
</ds:datastoreItem>
</file>

<file path=customXml/itemProps2.xml><?xml version="1.0" encoding="utf-8"?>
<ds:datastoreItem xmlns:ds="http://schemas.openxmlformats.org/officeDocument/2006/customXml" ds:itemID="{D8033941-35CA-456B-8A83-28267DBB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5ee0-0151-4ddd-8e31-4a7a9a4e993a"/>
    <ds:schemaRef ds:uri="feeebf29-4165-41da-9315-64480ca5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0AA91-964B-40AB-B816-4349ECC00117}">
  <ds:schemaRefs>
    <ds:schemaRef ds:uri="http://schemas.microsoft.com/sharepoint/v3/contenttype/forms"/>
  </ds:schemaRefs>
</ds:datastoreItem>
</file>

<file path=customXml/itemProps4.xml><?xml version="1.0" encoding="utf-8"?>
<ds:datastoreItem xmlns:ds="http://schemas.openxmlformats.org/officeDocument/2006/customXml" ds:itemID="{D34A0874-9F39-4484-9B8F-F931786D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54</Pages>
  <Words>21797</Words>
  <Characters>119884</Characters>
  <Application>Microsoft Office Word</Application>
  <DocSecurity>0</DocSecurity>
  <Lines>999</Lines>
  <Paragraphs>282</Paragraphs>
  <ScaleCrop>false</ScaleCrop>
  <HeadingPairs>
    <vt:vector size="2" baseType="variant">
      <vt:variant>
        <vt:lpstr>Titre</vt:lpstr>
      </vt:variant>
      <vt:variant>
        <vt:i4>1</vt:i4>
      </vt:variant>
    </vt:vector>
  </HeadingPairs>
  <TitlesOfParts>
    <vt:vector size="1" baseType="lpstr">
      <vt:lpstr>Le bilan social est-il obligatoire pour toutes les collectivités</vt:lpstr>
    </vt:vector>
  </TitlesOfParts>
  <Company>CIG Petite Couronne</Company>
  <LinksUpToDate>false</LinksUpToDate>
  <CharactersWithSpaces>141399</CharactersWithSpaces>
  <SharedDoc>false</SharedDoc>
  <HLinks>
    <vt:vector size="24" baseType="variant">
      <vt:variant>
        <vt:i4>4653141</vt:i4>
      </vt:variant>
      <vt:variant>
        <vt:i4>9</vt:i4>
      </vt:variant>
      <vt:variant>
        <vt:i4>0</vt:i4>
      </vt:variant>
      <vt:variant>
        <vt:i4>5</vt:i4>
      </vt:variant>
      <vt:variant>
        <vt:lpwstr>http://www.fiphfp.fr/Obligations-des-employeurs/Declaration-et-contribution/Declarer</vt:lpwstr>
      </vt:variant>
      <vt:variant>
        <vt:lpwstr/>
      </vt:variant>
      <vt:variant>
        <vt:i4>5439580</vt:i4>
      </vt:variant>
      <vt:variant>
        <vt:i4>6</vt:i4>
      </vt:variant>
      <vt:variant>
        <vt:i4>0</vt:i4>
      </vt:variant>
      <vt:variant>
        <vt:i4>5</vt:i4>
      </vt:variant>
      <vt:variant>
        <vt:lpwstr>http://www.cig929394.fr/</vt:lpwstr>
      </vt:variant>
      <vt:variant>
        <vt:lpwstr/>
      </vt:variant>
      <vt:variant>
        <vt:i4>262161</vt:i4>
      </vt:variant>
      <vt:variant>
        <vt:i4>3</vt:i4>
      </vt:variant>
      <vt:variant>
        <vt:i4>0</vt:i4>
      </vt:variant>
      <vt:variant>
        <vt:i4>5</vt:i4>
      </vt:variant>
      <vt:variant>
        <vt:lpwstr>https://client.neeria.com/cdg</vt:lpwstr>
      </vt:variant>
      <vt:variant>
        <vt:lpwstr/>
      </vt:variant>
      <vt:variant>
        <vt:i4>4128781</vt:i4>
      </vt:variant>
      <vt:variant>
        <vt:i4>0</vt:i4>
      </vt:variant>
      <vt:variant>
        <vt:i4>0</vt:i4>
      </vt:variant>
      <vt:variant>
        <vt:i4>5</vt:i4>
      </vt:variant>
      <vt:variant>
        <vt:lpwstr>mailto:bilansocial@cig929394.fr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bilan social est-il obligatoire pour toutes les collectivités</dc:title>
  <dc:creator>lepingle</dc:creator>
  <cp:lastModifiedBy>Guiou Celine</cp:lastModifiedBy>
  <cp:revision>2</cp:revision>
  <cp:lastPrinted>2022-08-02T12:18:00Z</cp:lastPrinted>
  <dcterms:created xsi:type="dcterms:W3CDTF">2022-08-29T11:43:00Z</dcterms:created>
  <dcterms:modified xsi:type="dcterms:W3CDTF">2022-08-29T11:43:00Z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0x010100E9CBC17D76D8C042AB2879CFA8E02D8C</vt:lpwstr>
  </property>
  <property fmtid="{D5CDD505-2E9C-101B-9397-08002B2CF9AE}" pid="3" name="MediaServiceImageTags">
    <vt:lpwstr/>
  </property>
</Properties>
</file>